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DF8" w:rsidRDefault="00E02DF8" w:rsidP="00E02DF8">
      <w:pPr>
        <w:jc w:val="both"/>
        <w:rPr>
          <w:rFonts w:cs="Times New Roman"/>
          <w:b/>
        </w:rPr>
      </w:pPr>
      <w:bookmarkStart w:id="0" w:name="_GoBack"/>
      <w:bookmarkEnd w:id="0"/>
      <w:r>
        <w:rPr>
          <w:rFonts w:cs="Times New Roman"/>
          <w:b/>
        </w:rPr>
        <w:t>HONORABBLE SENADO:</w:t>
      </w:r>
    </w:p>
    <w:p w:rsidR="00E02DF8" w:rsidRDefault="00E02DF8" w:rsidP="00E02DF8">
      <w:pPr>
        <w:jc w:val="both"/>
        <w:rPr>
          <w:rFonts w:cs="Times New Roman"/>
          <w:b/>
        </w:rPr>
      </w:pPr>
    </w:p>
    <w:p w:rsidR="00E02DF8" w:rsidRPr="00E02DF8" w:rsidRDefault="00E02DF8" w:rsidP="006866DA">
      <w:pPr>
        <w:ind w:firstLine="2835"/>
        <w:jc w:val="both"/>
        <w:rPr>
          <w:rFonts w:cs="Times New Roman"/>
        </w:rPr>
      </w:pPr>
      <w:r w:rsidRPr="00E02DF8">
        <w:rPr>
          <w:rFonts w:cs="Times New Roman"/>
        </w:rPr>
        <w:t xml:space="preserve">Vuestra </w:t>
      </w:r>
      <w:r w:rsidRPr="00E02DF8">
        <w:rPr>
          <w:rFonts w:cs="Times New Roman"/>
          <w:b/>
        </w:rPr>
        <w:t>Comisión de Legislación General</w:t>
      </w:r>
      <w:r w:rsidRPr="00E02DF8">
        <w:rPr>
          <w:rFonts w:cs="Times New Roman"/>
        </w:rPr>
        <w:t xml:space="preserve"> ha considerado e</w:t>
      </w:r>
      <w:r>
        <w:rPr>
          <w:rFonts w:cs="Times New Roman"/>
        </w:rPr>
        <w:t>n revisión, el Proyecto de Ley c</w:t>
      </w:r>
      <w:r w:rsidRPr="00E02DF8">
        <w:rPr>
          <w:rFonts w:cs="Times New Roman"/>
        </w:rPr>
        <w:t xml:space="preserve">ontenido en el Expediente Nº 22.409 H.C.D., autoría del Poder Ejecutivo, por el que se lo autoriza, a través del </w:t>
      </w:r>
      <w:r w:rsidRPr="00E02DF8">
        <w:rPr>
          <w:lang w:val="es-ES"/>
        </w:rPr>
        <w:t xml:space="preserve">Instituto Autárquico de Planeamiento y Vivienda de Entre Ríos a transferir a Titulo de Donación con Cargo, a la Municipalidad de </w:t>
      </w:r>
      <w:proofErr w:type="spellStart"/>
      <w:r w:rsidRPr="00E02DF8">
        <w:rPr>
          <w:lang w:val="es-ES"/>
        </w:rPr>
        <w:t>Chajarí</w:t>
      </w:r>
      <w:proofErr w:type="spellEnd"/>
      <w:r w:rsidRPr="00E02DF8">
        <w:rPr>
          <w:lang w:val="es-ES"/>
        </w:rPr>
        <w:t xml:space="preserve">,  un inmueble de su propiedad, ubicado en la Planta Urbana de dicha Localidad y, por las razones que dará su miembro informante aconseja su aprobación en los términos remitidos </w:t>
      </w:r>
    </w:p>
    <w:p w:rsidR="00E02DF8" w:rsidRDefault="00E02DF8" w:rsidP="00E02DF8">
      <w:pPr>
        <w:jc w:val="center"/>
        <w:rPr>
          <w:rFonts w:cs="Times New Roman"/>
          <w:b/>
        </w:rPr>
      </w:pPr>
    </w:p>
    <w:p w:rsidR="00E02DF8" w:rsidRDefault="00E02DF8" w:rsidP="00E02DF8">
      <w:pPr>
        <w:jc w:val="center"/>
        <w:rPr>
          <w:rFonts w:cs="Times New Roman"/>
          <w:b/>
        </w:rPr>
      </w:pPr>
    </w:p>
    <w:p w:rsidR="00E02DF8" w:rsidRDefault="00E02DF8" w:rsidP="00E02DF8">
      <w:pPr>
        <w:jc w:val="center"/>
      </w:pPr>
      <w:r>
        <w:rPr>
          <w:rFonts w:cs="Times New Roman"/>
          <w:b/>
        </w:rPr>
        <w:t>LA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LEGISLATURA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DE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LA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PROVINCIA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DE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ENTRE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RIOS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SANCIONA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CON</w:t>
      </w:r>
      <w:r>
        <w:rPr>
          <w:rFonts w:eastAsia="Times New Roman" w:cs="Times New Roman"/>
          <w:b/>
        </w:rPr>
        <w:t xml:space="preserve"> </w:t>
      </w:r>
    </w:p>
    <w:p w:rsidR="00B517A6" w:rsidRDefault="00B517A6" w:rsidP="00E02DF8">
      <w:pPr>
        <w:jc w:val="center"/>
        <w:rPr>
          <w:rFonts w:cs="Times New Roman"/>
          <w:b/>
        </w:rPr>
      </w:pPr>
    </w:p>
    <w:p w:rsidR="00E02DF8" w:rsidRDefault="00E02DF8" w:rsidP="00E02DF8">
      <w:pPr>
        <w:jc w:val="center"/>
      </w:pPr>
      <w:r>
        <w:rPr>
          <w:rFonts w:cs="Times New Roman"/>
          <w:b/>
        </w:rPr>
        <w:t>FUERZA</w:t>
      </w:r>
      <w:r>
        <w:rPr>
          <w:rFonts w:eastAsia="Times New Roman" w:cs="Times New Roman"/>
          <w:b/>
        </w:rPr>
        <w:t xml:space="preserve"> </w:t>
      </w:r>
      <w:r>
        <w:rPr>
          <w:rFonts w:cs="Times New Roman"/>
          <w:b/>
        </w:rPr>
        <w:t>DE</w:t>
      </w:r>
      <w:r>
        <w:rPr>
          <w:rFonts w:eastAsia="Times New Roman" w:cs="Times New Roman"/>
          <w:b/>
        </w:rPr>
        <w:t xml:space="preserve"> </w:t>
      </w:r>
    </w:p>
    <w:p w:rsidR="00E02DF8" w:rsidRDefault="00E02DF8" w:rsidP="00E02DF8">
      <w:pPr>
        <w:jc w:val="center"/>
        <w:rPr>
          <w:rFonts w:cs="Times New Roman"/>
          <w:b/>
        </w:rPr>
      </w:pPr>
    </w:p>
    <w:p w:rsidR="00E02DF8" w:rsidRDefault="00E02DF8" w:rsidP="00E02DF8">
      <w:pPr>
        <w:jc w:val="center"/>
      </w:pPr>
      <w:r>
        <w:rPr>
          <w:rFonts w:cs="Times New Roman"/>
          <w:b/>
        </w:rPr>
        <w:t>LEY:</w:t>
      </w:r>
    </w:p>
    <w:p w:rsidR="00E02DF8" w:rsidRDefault="00E02DF8" w:rsidP="00E02DF8">
      <w:pPr>
        <w:jc w:val="both"/>
        <w:rPr>
          <w:rFonts w:cs="Times New Roman"/>
        </w:rPr>
      </w:pPr>
    </w:p>
    <w:p w:rsidR="006866DA" w:rsidRDefault="006866DA" w:rsidP="00E02DF8">
      <w:pPr>
        <w:jc w:val="both"/>
        <w:rPr>
          <w:rFonts w:cs="Times New Roman"/>
        </w:rPr>
      </w:pPr>
    </w:p>
    <w:p w:rsidR="00E02DF8" w:rsidRDefault="00E02DF8" w:rsidP="00E02DF8">
      <w:pPr>
        <w:pStyle w:val="Textoindependiente"/>
        <w:spacing w:after="0"/>
        <w:jc w:val="both"/>
      </w:pPr>
      <w:r>
        <w:rPr>
          <w:b/>
          <w:bCs/>
          <w:lang w:val="es-ES"/>
        </w:rPr>
        <w:t>ARTÍCULO 1º: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Autorízase</w:t>
      </w:r>
      <w:proofErr w:type="spellEnd"/>
      <w:r>
        <w:rPr>
          <w:lang w:val="es-ES"/>
        </w:rPr>
        <w:t xml:space="preserve"> al Instituto Autárquico de Planeamiento y Vivienda de Entre Ríos a transferir a Titulo de Donación con Cargo, a la Municipalidad de </w:t>
      </w:r>
      <w:proofErr w:type="spellStart"/>
      <w:r>
        <w:rPr>
          <w:lang w:val="es-ES"/>
        </w:rPr>
        <w:t>Chajarí</w:t>
      </w:r>
      <w:proofErr w:type="spellEnd"/>
      <w:r>
        <w:rPr>
          <w:lang w:val="es-ES"/>
        </w:rPr>
        <w:t>,  un inmueble de su propiedad, el que se ubica e identifica de la siguiente forma:</w:t>
      </w:r>
    </w:p>
    <w:p w:rsidR="00E02DF8" w:rsidRDefault="00E02DF8" w:rsidP="00E02DF8">
      <w:pPr>
        <w:pStyle w:val="Textoindependiente"/>
        <w:spacing w:after="0"/>
        <w:jc w:val="both"/>
      </w:pPr>
      <w:r>
        <w:rPr>
          <w:lang w:val="es-ES"/>
        </w:rPr>
        <w:t xml:space="preserve">A) PLANO Nº 11.121- Certificado 799845 - Lote Frac. C – Partida Provincial: 90.616 -  Localización: provincia de Entre Ríos, Departamento  </w:t>
      </w:r>
      <w:proofErr w:type="spellStart"/>
      <w:r>
        <w:rPr>
          <w:lang w:val="es-ES"/>
        </w:rPr>
        <w:t>Federacion</w:t>
      </w:r>
      <w:proofErr w:type="spellEnd"/>
      <w:r>
        <w:rPr>
          <w:lang w:val="es-ES"/>
        </w:rPr>
        <w:t xml:space="preserve">, Planta Urbana de CHAJARI, Ex Chacra 121 – Manzana Sin Designación – Fracción C - Domicilio Parcelario: Calle Avellaneda S/Nº, a 60,60 m., de Avda. Belgrano y a 24,80m., de Calle La Inmaculada -  Superficie: 19.925,00 m2 (Diecinueve mil novecientos veinticinco metros cuadrados) Exceso: 510,97m2  Matricula: 3.711, </w:t>
      </w:r>
      <w:proofErr w:type="spellStart"/>
      <w:r>
        <w:rPr>
          <w:lang w:val="es-ES"/>
        </w:rPr>
        <w:t>limites</w:t>
      </w:r>
      <w:proofErr w:type="spellEnd"/>
      <w:r>
        <w:rPr>
          <w:lang w:val="es-ES"/>
        </w:rPr>
        <w:t xml:space="preserve"> y linderos:</w:t>
      </w:r>
    </w:p>
    <w:p w:rsidR="00E02DF8" w:rsidRDefault="00E02DF8" w:rsidP="00E02DF8">
      <w:pPr>
        <w:pStyle w:val="Textoindependiente"/>
        <w:spacing w:after="0"/>
        <w:jc w:val="both"/>
      </w:pPr>
      <w:r>
        <w:rPr>
          <w:lang w:val="es-ES"/>
        </w:rPr>
        <w:t xml:space="preserve"> Al Noreste: Recta (20-21) con  rumbo S.44º25´E, de 40,00 m., y (21-22) con rumbo N.25º30´E. de 10,60m. que lindan con Juan A. Jara; recta (22-23) con rumbo S.45º00´E. de 32,00m., que linda con Martín Juan </w:t>
      </w:r>
      <w:proofErr w:type="spellStart"/>
      <w:r>
        <w:rPr>
          <w:lang w:val="es-ES"/>
        </w:rPr>
        <w:t>Lower</w:t>
      </w:r>
      <w:proofErr w:type="spellEnd"/>
      <w:r>
        <w:rPr>
          <w:lang w:val="es-ES"/>
        </w:rPr>
        <w:t xml:space="preserve"> y con Martín I. </w:t>
      </w:r>
      <w:proofErr w:type="spellStart"/>
      <w:r>
        <w:rPr>
          <w:lang w:val="es-ES"/>
        </w:rPr>
        <w:t>Calgaro</w:t>
      </w:r>
      <w:proofErr w:type="spellEnd"/>
      <w:r>
        <w:rPr>
          <w:lang w:val="es-ES"/>
        </w:rPr>
        <w:t xml:space="preserve">; y recta (24-25) con rumbo S.42º44´E. de 228,40m. que linda con Avenida Belgrano.- </w:t>
      </w:r>
    </w:p>
    <w:p w:rsidR="00E02DF8" w:rsidRDefault="00E02DF8" w:rsidP="00E02DF8">
      <w:pPr>
        <w:pStyle w:val="Textoindependiente"/>
        <w:spacing w:after="0"/>
        <w:jc w:val="both"/>
      </w:pPr>
      <w:r>
        <w:rPr>
          <w:lang w:val="es-ES"/>
        </w:rPr>
        <w:t xml:space="preserve">Al Sur: Recta (25-26) con rumbo N.76º26´ O. de 283,20m., que linda con Marta Felicia </w:t>
      </w:r>
      <w:proofErr w:type="spellStart"/>
      <w:r>
        <w:rPr>
          <w:lang w:val="es-ES"/>
        </w:rPr>
        <w:t>Marzoratti</w:t>
      </w:r>
      <w:proofErr w:type="spellEnd"/>
      <w:r>
        <w:rPr>
          <w:lang w:val="es-ES"/>
        </w:rPr>
        <w:t xml:space="preserve"> y Otros.</w:t>
      </w:r>
    </w:p>
    <w:p w:rsidR="00E02DF8" w:rsidRDefault="00E02DF8" w:rsidP="00E02DF8">
      <w:pPr>
        <w:pStyle w:val="Textoindependiente"/>
        <w:spacing w:after="0"/>
        <w:jc w:val="both"/>
      </w:pPr>
      <w:r>
        <w:rPr>
          <w:lang w:val="es-ES"/>
        </w:rPr>
        <w:t>Al Oeste: Rectas (26-27) con rumbo N.16º56´E. de 19,70m., y recta (27-20) con rumbo N.25º30´E. de 86,20m., que lindan con Calle Avellaneda.-</w:t>
      </w:r>
    </w:p>
    <w:p w:rsidR="00E02DF8" w:rsidRDefault="00E02DF8" w:rsidP="00E02DF8">
      <w:pPr>
        <w:pStyle w:val="Textoindependiente"/>
        <w:spacing w:after="0"/>
        <w:jc w:val="both"/>
      </w:pPr>
    </w:p>
    <w:p w:rsidR="00E02DF8" w:rsidRDefault="006866DA" w:rsidP="00E02DF8">
      <w:pPr>
        <w:pStyle w:val="Textoindependiente"/>
        <w:spacing w:after="0"/>
        <w:jc w:val="both"/>
      </w:pPr>
      <w:r>
        <w:rPr>
          <w:b/>
          <w:bCs/>
          <w:lang w:val="es-ES"/>
        </w:rPr>
        <w:t>ARTÍCULO 2º:</w:t>
      </w:r>
      <w:r w:rsidR="00E02DF8">
        <w:rPr>
          <w:lang w:val="es-ES"/>
        </w:rPr>
        <w:t xml:space="preserve"> La presente donación se deberá instrumentar  con el cargo de que la donataria destine efectivamente el Inmueble a Espacio Verde y/o recreación, caso contrario se producirá la reversión automática a  favor del I.A.P.V.-</w:t>
      </w:r>
    </w:p>
    <w:p w:rsidR="00E02DF8" w:rsidRDefault="00E02DF8" w:rsidP="00E02DF8">
      <w:pPr>
        <w:pStyle w:val="Textoindependiente"/>
        <w:spacing w:after="0"/>
        <w:jc w:val="both"/>
      </w:pPr>
    </w:p>
    <w:p w:rsidR="00E02DF8" w:rsidRDefault="006866DA" w:rsidP="00E02DF8">
      <w:pPr>
        <w:pStyle w:val="Textoindependiente"/>
        <w:spacing w:after="0"/>
        <w:jc w:val="both"/>
      </w:pPr>
      <w:r w:rsidRPr="00B517A6">
        <w:rPr>
          <w:b/>
          <w:bCs/>
          <w:lang w:val="es-ES"/>
        </w:rPr>
        <w:t>ARTÍCULO 3º:</w:t>
      </w:r>
      <w:r w:rsidR="00E02DF8">
        <w:rPr>
          <w:lang w:val="es-ES"/>
        </w:rPr>
        <w:t xml:space="preserve"> </w:t>
      </w:r>
      <w:proofErr w:type="spellStart"/>
      <w:r w:rsidR="00E02DF8">
        <w:rPr>
          <w:lang w:val="es-ES"/>
        </w:rPr>
        <w:t>Facúltase</w:t>
      </w:r>
      <w:proofErr w:type="spellEnd"/>
      <w:r w:rsidR="00E02DF8">
        <w:rPr>
          <w:lang w:val="es-ES"/>
        </w:rPr>
        <w:t xml:space="preserve"> a la Escribanía Mayor de Gobierno a proceder a instrumentar la correspondiente Escritura traslativa de dominio, de conformidad a lo dispuesto precedentemente.-</w:t>
      </w:r>
    </w:p>
    <w:p w:rsidR="00E02DF8" w:rsidRDefault="00E02DF8" w:rsidP="00E02DF8">
      <w:pPr>
        <w:pStyle w:val="Textoindependiente"/>
        <w:spacing w:after="0"/>
        <w:jc w:val="both"/>
      </w:pPr>
    </w:p>
    <w:p w:rsidR="00B517A6" w:rsidRDefault="00B517A6" w:rsidP="00E02DF8">
      <w:pPr>
        <w:pStyle w:val="Textoindependiente"/>
        <w:spacing w:after="0"/>
        <w:jc w:val="both"/>
      </w:pPr>
    </w:p>
    <w:p w:rsidR="00E02DF8" w:rsidRDefault="006866DA" w:rsidP="00E02DF8">
      <w:pPr>
        <w:jc w:val="both"/>
      </w:pPr>
      <w:r>
        <w:rPr>
          <w:b/>
          <w:bCs/>
          <w:u w:val="single"/>
          <w:lang w:val="es-ES"/>
        </w:rPr>
        <w:t>ARTÍCULO 4º:</w:t>
      </w:r>
      <w:r w:rsidR="00E02DF8">
        <w:rPr>
          <w:lang w:val="es-ES"/>
        </w:rPr>
        <w:t xml:space="preserve">  Comuníquese, </w:t>
      </w:r>
      <w:proofErr w:type="gramStart"/>
      <w:r w:rsidR="00E02DF8">
        <w:rPr>
          <w:lang w:val="es-ES"/>
        </w:rPr>
        <w:t>etc</w:t>
      </w:r>
      <w:r>
        <w:rPr>
          <w:lang w:val="es-ES"/>
        </w:rPr>
        <w:t>.</w:t>
      </w:r>
      <w:r w:rsidR="00E02DF8">
        <w:rPr>
          <w:lang w:val="es-ES"/>
        </w:rPr>
        <w:t>.</w:t>
      </w:r>
      <w:proofErr w:type="gramEnd"/>
    </w:p>
    <w:p w:rsidR="002F66F3" w:rsidRDefault="002F66F3"/>
    <w:p w:rsidR="006866DA" w:rsidRDefault="006866DA"/>
    <w:p w:rsidR="006866DA" w:rsidRDefault="006866DA" w:rsidP="006866DA">
      <w:pPr>
        <w:pStyle w:val="Encabezado"/>
        <w:tabs>
          <w:tab w:val="left" w:pos="708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PARANA</w:t>
      </w:r>
      <w:r>
        <w:rPr>
          <w:rFonts w:ascii="Times New Roman" w:hAnsi="Times New Roman"/>
        </w:rPr>
        <w:t>, Sala de Comisiones 13 de marzo de 2018.</w:t>
      </w:r>
    </w:p>
    <w:p w:rsidR="006866DA" w:rsidRDefault="006866DA" w:rsidP="006866DA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6866DA" w:rsidRDefault="006866DA" w:rsidP="006866DA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6866DA" w:rsidRDefault="006866DA" w:rsidP="006866DA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6866DA" w:rsidRDefault="006866DA" w:rsidP="006866DA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LARRARTE</w:t>
      </w:r>
      <w:r>
        <w:rPr>
          <w:rFonts w:ascii="Times New Roman" w:hAnsi="Times New Roman"/>
        </w:rPr>
        <w:t>, Lucas.</w:t>
      </w:r>
    </w:p>
    <w:p w:rsidR="006866DA" w:rsidRDefault="006866DA" w:rsidP="006866DA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6866DA" w:rsidRDefault="006866DA" w:rsidP="006866DA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6866DA" w:rsidRDefault="006866DA" w:rsidP="006866DA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s-ES"/>
        </w:rPr>
      </w:pPr>
      <w:r>
        <w:rPr>
          <w:rFonts w:ascii="Times New Roman" w:hAnsi="Times New Roman"/>
          <w:b/>
          <w:bCs/>
          <w:lang w:val="es-ES"/>
        </w:rPr>
        <w:t xml:space="preserve">KISSER, </w:t>
      </w:r>
      <w:r>
        <w:rPr>
          <w:rFonts w:ascii="Times New Roman" w:hAnsi="Times New Roman"/>
          <w:lang w:val="es-ES"/>
        </w:rPr>
        <w:t>Raymundo.</w:t>
      </w:r>
    </w:p>
    <w:p w:rsidR="006866DA" w:rsidRDefault="006866DA" w:rsidP="006866DA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6866DA" w:rsidRDefault="006866DA" w:rsidP="006866DA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6866DA" w:rsidRDefault="006866DA" w:rsidP="006866DA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  <w:r w:rsidRPr="00CF323F">
        <w:rPr>
          <w:rFonts w:ascii="Times New Roman" w:hAnsi="Times New Roman"/>
          <w:b/>
        </w:rPr>
        <w:t>BLANCO</w:t>
      </w:r>
      <w:r>
        <w:rPr>
          <w:rFonts w:ascii="Times New Roman" w:hAnsi="Times New Roman"/>
        </w:rPr>
        <w:t xml:space="preserve">, Héctor. </w:t>
      </w:r>
    </w:p>
    <w:p w:rsidR="006866DA" w:rsidRDefault="006866DA" w:rsidP="006866DA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</w:rPr>
      </w:pPr>
    </w:p>
    <w:p w:rsidR="006866DA" w:rsidRDefault="006866DA" w:rsidP="006866DA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</w:rPr>
      </w:pPr>
    </w:p>
    <w:p w:rsidR="006866DA" w:rsidRDefault="006866DA" w:rsidP="006866DA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BONATO, </w:t>
      </w:r>
      <w:r w:rsidRPr="00CF323F">
        <w:rPr>
          <w:rFonts w:ascii="Times New Roman" w:hAnsi="Times New Roman"/>
          <w:bCs/>
        </w:rPr>
        <w:t>René</w:t>
      </w:r>
      <w:r>
        <w:rPr>
          <w:rFonts w:ascii="Times New Roman" w:hAnsi="Times New Roman"/>
          <w:b/>
          <w:bCs/>
        </w:rPr>
        <w:t>.</w:t>
      </w:r>
    </w:p>
    <w:p w:rsidR="006866DA" w:rsidRDefault="006866DA" w:rsidP="006866DA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</w:rPr>
      </w:pPr>
    </w:p>
    <w:p w:rsidR="006866DA" w:rsidRDefault="006866DA" w:rsidP="006866DA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</w:rPr>
      </w:pPr>
    </w:p>
    <w:p w:rsidR="006866DA" w:rsidRDefault="006866DA" w:rsidP="006866DA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ESPINOZA, </w:t>
      </w:r>
      <w:r w:rsidRPr="00CF323F">
        <w:rPr>
          <w:rFonts w:ascii="Times New Roman" w:hAnsi="Times New Roman"/>
          <w:bCs/>
        </w:rPr>
        <w:t>Mirian.</w:t>
      </w:r>
      <w:r>
        <w:rPr>
          <w:rFonts w:ascii="Times New Roman" w:hAnsi="Times New Roman"/>
          <w:b/>
          <w:bCs/>
        </w:rPr>
        <w:t xml:space="preserve"> </w:t>
      </w:r>
    </w:p>
    <w:p w:rsidR="006866DA" w:rsidRDefault="006866DA" w:rsidP="006866DA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</w:rPr>
      </w:pPr>
    </w:p>
    <w:p w:rsidR="006866DA" w:rsidRDefault="006866DA" w:rsidP="006866DA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</w:rPr>
      </w:pPr>
    </w:p>
    <w:p w:rsidR="006866DA" w:rsidRDefault="006866DA" w:rsidP="006866DA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GIANO</w:t>
      </w:r>
      <w:r>
        <w:rPr>
          <w:rFonts w:ascii="Times New Roman" w:hAnsi="Times New Roman"/>
        </w:rPr>
        <w:t>, Ángel.</w:t>
      </w:r>
    </w:p>
    <w:p w:rsidR="006866DA" w:rsidRDefault="006866DA" w:rsidP="006866DA">
      <w:pPr>
        <w:pStyle w:val="Encabezado"/>
        <w:tabs>
          <w:tab w:val="left" w:pos="708"/>
        </w:tabs>
        <w:jc w:val="both"/>
        <w:rPr>
          <w:rFonts w:ascii="Times New Roman" w:hAnsi="Times New Roman"/>
          <w:b/>
        </w:rPr>
      </w:pPr>
    </w:p>
    <w:p w:rsidR="006866DA" w:rsidRDefault="006866DA" w:rsidP="006866DA">
      <w:pPr>
        <w:pStyle w:val="Encabezado"/>
        <w:tabs>
          <w:tab w:val="left" w:pos="708"/>
        </w:tabs>
        <w:jc w:val="both"/>
        <w:rPr>
          <w:rFonts w:ascii="Times New Roman" w:hAnsi="Times New Roman"/>
          <w:b/>
        </w:rPr>
      </w:pPr>
    </w:p>
    <w:p w:rsidR="006866DA" w:rsidRDefault="006866DA" w:rsidP="006866DA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  <w:r w:rsidRPr="00CF323F">
        <w:rPr>
          <w:rFonts w:ascii="Times New Roman" w:hAnsi="Times New Roman"/>
          <w:b/>
        </w:rPr>
        <w:t>MATTIAUDA</w:t>
      </w:r>
      <w:r>
        <w:rPr>
          <w:rFonts w:ascii="Times New Roman" w:hAnsi="Times New Roman"/>
        </w:rPr>
        <w:t xml:space="preserve">, Nicolás. </w:t>
      </w:r>
    </w:p>
    <w:p w:rsidR="006866DA" w:rsidRDefault="006866DA" w:rsidP="006866DA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6866DA" w:rsidRDefault="006866DA" w:rsidP="006866DA">
      <w:pPr>
        <w:pStyle w:val="Encabezado"/>
        <w:tabs>
          <w:tab w:val="left" w:pos="708"/>
        </w:tabs>
        <w:jc w:val="both"/>
        <w:rPr>
          <w:rFonts w:ascii="Times New Roman" w:hAnsi="Times New Roman"/>
          <w:b/>
        </w:rPr>
      </w:pPr>
    </w:p>
    <w:p w:rsidR="006866DA" w:rsidRDefault="006866DA" w:rsidP="006866DA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  <w:r w:rsidRPr="00CF323F">
        <w:rPr>
          <w:rFonts w:ascii="Times New Roman" w:hAnsi="Times New Roman"/>
          <w:b/>
        </w:rPr>
        <w:t>MIRANDA</w:t>
      </w:r>
      <w:r>
        <w:rPr>
          <w:rFonts w:ascii="Times New Roman" w:hAnsi="Times New Roman"/>
        </w:rPr>
        <w:t xml:space="preserve">, Nancy. </w:t>
      </w:r>
    </w:p>
    <w:p w:rsidR="006866DA" w:rsidRDefault="006866DA" w:rsidP="006866DA">
      <w:pPr>
        <w:pStyle w:val="Encabezado"/>
        <w:tabs>
          <w:tab w:val="left" w:pos="708"/>
        </w:tabs>
        <w:jc w:val="both"/>
        <w:rPr>
          <w:rFonts w:ascii="Times New Roman" w:hAnsi="Times New Roman"/>
        </w:rPr>
      </w:pPr>
    </w:p>
    <w:p w:rsidR="006866DA" w:rsidRDefault="006866DA" w:rsidP="006866DA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s-ES"/>
        </w:rPr>
      </w:pPr>
    </w:p>
    <w:p w:rsidR="006866DA" w:rsidRDefault="006866DA" w:rsidP="006866DA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 xml:space="preserve">SCHILD, </w:t>
      </w:r>
      <w:r>
        <w:rPr>
          <w:rFonts w:ascii="Times New Roman" w:hAnsi="Times New Roman"/>
          <w:lang w:val="en-US"/>
        </w:rPr>
        <w:t>Rogelio.</w:t>
      </w:r>
    </w:p>
    <w:p w:rsidR="006866DA" w:rsidRDefault="006866DA" w:rsidP="006866DA">
      <w:pPr>
        <w:pStyle w:val="Encabezado"/>
        <w:tabs>
          <w:tab w:val="left" w:pos="708"/>
        </w:tabs>
        <w:jc w:val="both"/>
        <w:rPr>
          <w:rFonts w:ascii="Times New Roman" w:hAnsi="Times New Roman"/>
          <w:b/>
          <w:bCs/>
          <w:lang w:val="en-US"/>
        </w:rPr>
      </w:pPr>
    </w:p>
    <w:p w:rsidR="006866DA" w:rsidRDefault="006866DA"/>
    <w:sectPr w:rsidR="006866DA" w:rsidSect="00B517A6">
      <w:pgSz w:w="11906" w:h="16838" w:code="9"/>
      <w:pgMar w:top="3232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tistik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DF8"/>
    <w:rsid w:val="002F66F3"/>
    <w:rsid w:val="003B3451"/>
    <w:rsid w:val="006866DA"/>
    <w:rsid w:val="007C3858"/>
    <w:rsid w:val="00B517A6"/>
    <w:rsid w:val="00E0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05192-D73D-4E50-B526-09E027AF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D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E02DF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E02DF8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Encabezado">
    <w:name w:val="header"/>
    <w:basedOn w:val="Normal"/>
    <w:link w:val="EncabezadoCar"/>
    <w:semiHidden/>
    <w:unhideWhenUsed/>
    <w:rsid w:val="006866DA"/>
    <w:pPr>
      <w:widowControl/>
      <w:tabs>
        <w:tab w:val="center" w:pos="4419"/>
        <w:tab w:val="right" w:pos="8838"/>
      </w:tabs>
      <w:suppressAutoHyphens w:val="0"/>
    </w:pPr>
    <w:rPr>
      <w:rFonts w:ascii="Artistik" w:eastAsia="Times New Roman" w:hAnsi="Artistik" w:cs="Times New Roman"/>
      <w:kern w:val="0"/>
      <w:szCs w:val="20"/>
      <w:lang w:eastAsia="es-ES" w:bidi="ar-SA"/>
    </w:rPr>
  </w:style>
  <w:style w:type="character" w:customStyle="1" w:styleId="EncabezadoCar">
    <w:name w:val="Encabezado Car"/>
    <w:basedOn w:val="Fuentedeprrafopredeter"/>
    <w:link w:val="Encabezado"/>
    <w:semiHidden/>
    <w:rsid w:val="006866DA"/>
    <w:rPr>
      <w:rFonts w:ascii="Artistik" w:eastAsia="Times New Roman" w:hAnsi="Artistik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17A6"/>
    <w:rPr>
      <w:rFonts w:ascii="Segoe UI" w:hAnsi="Segoe UI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17A6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Romina</cp:lastModifiedBy>
  <cp:revision>2</cp:revision>
  <cp:lastPrinted>2018-03-20T14:13:00Z</cp:lastPrinted>
  <dcterms:created xsi:type="dcterms:W3CDTF">2019-05-08T12:57:00Z</dcterms:created>
  <dcterms:modified xsi:type="dcterms:W3CDTF">2019-05-08T12:57:00Z</dcterms:modified>
</cp:coreProperties>
</file>