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94C" w:rsidRPr="00271A32" w:rsidRDefault="00EA294C" w:rsidP="00EA294C">
      <w:pPr>
        <w:spacing w:line="240" w:lineRule="auto"/>
        <w:ind w:left="180" w:right="-496"/>
        <w:jc w:val="both"/>
        <w:rPr>
          <w:rFonts w:ascii="Times New Roman" w:eastAsia="Times New Roman" w:hAnsi="Times New Roman"/>
          <w:b/>
          <w:sz w:val="24"/>
          <w:szCs w:val="24"/>
          <w:lang w:val="es-ES_tradnl" w:eastAsia="es-ES"/>
        </w:rPr>
      </w:pPr>
      <w:bookmarkStart w:id="0" w:name="_GoBack"/>
      <w:bookmarkEnd w:id="0"/>
      <w:r w:rsidRPr="00271A32">
        <w:rPr>
          <w:rFonts w:ascii="Times New Roman" w:eastAsia="Times New Roman" w:hAnsi="Times New Roman"/>
          <w:b/>
          <w:sz w:val="24"/>
          <w:szCs w:val="24"/>
          <w:lang w:val="es-ES_tradnl" w:eastAsia="es-ES"/>
        </w:rPr>
        <w:t>HONORABLE SENADO:</w:t>
      </w:r>
    </w:p>
    <w:p w:rsidR="00EA294C" w:rsidRPr="00271A32" w:rsidRDefault="00EA294C" w:rsidP="00EA294C">
      <w:pPr>
        <w:spacing w:line="240" w:lineRule="auto"/>
        <w:ind w:left="180" w:right="-496"/>
        <w:jc w:val="both"/>
        <w:rPr>
          <w:rFonts w:ascii="Times New Roman" w:eastAsia="Times New Roman" w:hAnsi="Times New Roman"/>
          <w:sz w:val="24"/>
          <w:szCs w:val="24"/>
          <w:lang w:val="es-ES_tradnl" w:eastAsia="es-ES"/>
        </w:rPr>
      </w:pPr>
    </w:p>
    <w:p w:rsidR="00EA294C" w:rsidRPr="00271A32" w:rsidRDefault="00EA294C" w:rsidP="00EA294C">
      <w:pPr>
        <w:spacing w:line="240" w:lineRule="auto"/>
        <w:ind w:left="180" w:right="-496"/>
        <w:jc w:val="both"/>
        <w:rPr>
          <w:rFonts w:ascii="Times New Roman" w:eastAsia="Times New Roman" w:hAnsi="Times New Roman"/>
          <w:sz w:val="24"/>
          <w:szCs w:val="24"/>
          <w:lang w:val="es-ES_tradnl" w:eastAsia="es-ES"/>
        </w:rPr>
      </w:pPr>
    </w:p>
    <w:p w:rsidR="00EA294C" w:rsidRPr="00EA294C" w:rsidRDefault="00EA294C" w:rsidP="00EA294C">
      <w:pPr>
        <w:spacing w:line="240" w:lineRule="auto"/>
        <w:ind w:left="180" w:right="-496"/>
        <w:jc w:val="both"/>
        <w:rPr>
          <w:rFonts w:ascii="Times New Roman" w:eastAsia="Times New Roman" w:hAnsi="Times New Roman" w:cs="Times New Roman"/>
          <w:color w:val="auto"/>
          <w:sz w:val="24"/>
          <w:szCs w:val="24"/>
          <w:lang w:val="es-ES_tradnl" w:eastAsia="es-ES"/>
        </w:rPr>
      </w:pPr>
      <w:r w:rsidRPr="00EA294C">
        <w:rPr>
          <w:rFonts w:ascii="Times New Roman" w:eastAsia="Times New Roman" w:hAnsi="Times New Roman" w:cs="Times New Roman"/>
          <w:color w:val="auto"/>
          <w:sz w:val="24"/>
          <w:szCs w:val="24"/>
          <w:lang w:val="es-ES_tradnl" w:eastAsia="es-ES"/>
        </w:rPr>
        <w:tab/>
      </w:r>
      <w:r w:rsidRPr="00EA294C">
        <w:rPr>
          <w:rFonts w:ascii="Times New Roman" w:eastAsia="Times New Roman" w:hAnsi="Times New Roman" w:cs="Times New Roman"/>
          <w:color w:val="auto"/>
          <w:sz w:val="24"/>
          <w:szCs w:val="24"/>
          <w:lang w:val="es-ES_tradnl" w:eastAsia="es-ES"/>
        </w:rPr>
        <w:tab/>
      </w:r>
      <w:r w:rsidRPr="00EA294C">
        <w:rPr>
          <w:rFonts w:ascii="Times New Roman" w:eastAsia="Times New Roman" w:hAnsi="Times New Roman" w:cs="Times New Roman"/>
          <w:color w:val="auto"/>
          <w:sz w:val="24"/>
          <w:szCs w:val="24"/>
          <w:lang w:val="es-ES_tradnl" w:eastAsia="es-ES"/>
        </w:rPr>
        <w:tab/>
      </w:r>
      <w:r w:rsidRPr="00EA294C">
        <w:rPr>
          <w:rFonts w:ascii="Times New Roman" w:eastAsia="Times New Roman" w:hAnsi="Times New Roman" w:cs="Times New Roman"/>
          <w:color w:val="auto"/>
          <w:sz w:val="24"/>
          <w:szCs w:val="24"/>
          <w:lang w:val="es-ES_tradnl" w:eastAsia="es-ES"/>
        </w:rPr>
        <w:tab/>
        <w:t xml:space="preserve">Vuestra </w:t>
      </w:r>
      <w:r w:rsidRPr="00EA294C">
        <w:rPr>
          <w:rFonts w:ascii="Times New Roman" w:eastAsia="Times New Roman" w:hAnsi="Times New Roman" w:cs="Times New Roman"/>
          <w:b/>
          <w:color w:val="auto"/>
          <w:sz w:val="24"/>
          <w:szCs w:val="24"/>
          <w:lang w:val="es-ES_tradnl" w:eastAsia="es-ES"/>
        </w:rPr>
        <w:t xml:space="preserve">Comisión de Educación, Ciencia y Tecnología </w:t>
      </w:r>
      <w:r w:rsidRPr="00EA294C">
        <w:rPr>
          <w:rFonts w:ascii="Times New Roman" w:eastAsia="Times New Roman" w:hAnsi="Times New Roman" w:cs="Times New Roman"/>
          <w:color w:val="auto"/>
          <w:sz w:val="24"/>
          <w:szCs w:val="24"/>
          <w:lang w:val="es-ES_tradnl" w:eastAsia="es-ES"/>
        </w:rPr>
        <w:t xml:space="preserve">ha considerado el Proyecto de Ley contenido en el </w:t>
      </w:r>
      <w:r w:rsidRPr="00EA294C">
        <w:rPr>
          <w:rFonts w:ascii="Times New Roman" w:eastAsia="Times New Roman" w:hAnsi="Times New Roman" w:cs="Times New Roman"/>
          <w:b/>
          <w:bCs/>
          <w:color w:val="auto"/>
          <w:sz w:val="24"/>
          <w:szCs w:val="24"/>
          <w:lang w:val="es-ES_tradnl" w:eastAsia="es-ES"/>
        </w:rPr>
        <w:t>Expediente Nº 12.523,</w:t>
      </w:r>
      <w:r w:rsidRPr="00EA294C">
        <w:rPr>
          <w:rFonts w:ascii="Times New Roman" w:eastAsia="Times New Roman" w:hAnsi="Times New Roman" w:cs="Times New Roman"/>
          <w:color w:val="auto"/>
          <w:sz w:val="24"/>
          <w:szCs w:val="24"/>
          <w:lang w:val="es-ES_tradnl" w:eastAsia="es-ES"/>
        </w:rPr>
        <w:t xml:space="preserve"> de autoría del </w:t>
      </w:r>
      <w:r w:rsidRPr="00EA294C">
        <w:rPr>
          <w:rFonts w:ascii="Times New Roman" w:eastAsia="Times New Roman" w:hAnsi="Times New Roman" w:cs="Times New Roman"/>
          <w:b/>
          <w:bCs/>
          <w:color w:val="auto"/>
          <w:sz w:val="24"/>
          <w:szCs w:val="24"/>
          <w:lang w:val="es-ES_tradnl" w:eastAsia="es-ES"/>
        </w:rPr>
        <w:t>Senador Piana</w:t>
      </w:r>
      <w:r w:rsidRPr="00EA294C">
        <w:rPr>
          <w:rFonts w:ascii="Times New Roman" w:eastAsia="Times New Roman" w:hAnsi="Times New Roman" w:cs="Times New Roman"/>
          <w:color w:val="auto"/>
          <w:sz w:val="24"/>
          <w:szCs w:val="24"/>
          <w:lang w:val="es-ES_tradnl" w:eastAsia="es-ES"/>
        </w:rPr>
        <w:t>,</w:t>
      </w:r>
      <w:r w:rsidRPr="00EA294C">
        <w:rPr>
          <w:rFonts w:ascii="Times New Roman" w:hAnsi="Times New Roman" w:cs="Times New Roman"/>
          <w:color w:val="auto"/>
          <w:sz w:val="24"/>
          <w:szCs w:val="24"/>
          <w:shd w:val="clear" w:color="auto" w:fill="FFFFFF"/>
        </w:rPr>
        <w:t xml:space="preserve"> por el que se modifica el artículo 11º de la Ley Nº 9890 </w:t>
      </w:r>
      <w:r>
        <w:rPr>
          <w:rFonts w:ascii="Times New Roman" w:hAnsi="Times New Roman" w:cs="Times New Roman"/>
          <w:color w:val="auto"/>
          <w:sz w:val="24"/>
          <w:szCs w:val="24"/>
          <w:shd w:val="clear" w:color="auto" w:fill="FFFFFF"/>
        </w:rPr>
        <w:t xml:space="preserve"> incorpora</w:t>
      </w:r>
      <w:r w:rsidR="00101C09">
        <w:rPr>
          <w:rFonts w:ascii="Times New Roman" w:hAnsi="Times New Roman" w:cs="Times New Roman"/>
          <w:color w:val="auto"/>
          <w:sz w:val="24"/>
          <w:szCs w:val="24"/>
          <w:shd w:val="clear" w:color="auto" w:fill="FFFFFF"/>
        </w:rPr>
        <w:t>ndo</w:t>
      </w:r>
      <w:r>
        <w:rPr>
          <w:rFonts w:ascii="Times New Roman" w:hAnsi="Times New Roman" w:cs="Times New Roman"/>
          <w:color w:val="auto"/>
          <w:sz w:val="24"/>
          <w:szCs w:val="24"/>
          <w:shd w:val="clear" w:color="auto" w:fill="FFFFFF"/>
        </w:rPr>
        <w:t xml:space="preserve"> </w:t>
      </w:r>
      <w:r w:rsidRPr="00EA294C">
        <w:rPr>
          <w:rFonts w:ascii="Times New Roman" w:hAnsi="Times New Roman" w:cs="Times New Roman"/>
          <w:color w:val="auto"/>
          <w:sz w:val="24"/>
          <w:szCs w:val="24"/>
          <w:shd w:val="clear" w:color="auto" w:fill="FFFFFF"/>
        </w:rPr>
        <w:t xml:space="preserve">dentro de los lineamientos curriculares </w:t>
      </w:r>
      <w:r w:rsidR="00101C09">
        <w:rPr>
          <w:rFonts w:ascii="Times New Roman" w:hAnsi="Times New Roman" w:cs="Times New Roman"/>
          <w:color w:val="auto"/>
          <w:sz w:val="24"/>
          <w:szCs w:val="24"/>
          <w:shd w:val="clear" w:color="auto" w:fill="FFFFFF"/>
        </w:rPr>
        <w:t xml:space="preserve">transversales </w:t>
      </w:r>
      <w:r w:rsidRPr="00EA294C">
        <w:rPr>
          <w:rFonts w:ascii="Times New Roman" w:hAnsi="Times New Roman" w:cs="Times New Roman"/>
          <w:color w:val="auto"/>
          <w:sz w:val="24"/>
          <w:szCs w:val="24"/>
          <w:shd w:val="clear" w:color="auto" w:fill="FFFFFF"/>
        </w:rPr>
        <w:t xml:space="preserve">de cada nivel educativo obligatorio, </w:t>
      </w:r>
      <w:r w:rsidR="00101C09">
        <w:rPr>
          <w:rFonts w:ascii="Times New Roman" w:hAnsi="Times New Roman" w:cs="Times New Roman"/>
          <w:color w:val="auto"/>
          <w:sz w:val="24"/>
          <w:szCs w:val="24"/>
          <w:shd w:val="clear" w:color="auto" w:fill="FFFFFF"/>
        </w:rPr>
        <w:t xml:space="preserve">a </w:t>
      </w:r>
      <w:r w:rsidRPr="00EA294C">
        <w:rPr>
          <w:rFonts w:ascii="Times New Roman" w:hAnsi="Times New Roman" w:cs="Times New Roman"/>
          <w:color w:val="auto"/>
          <w:sz w:val="24"/>
          <w:szCs w:val="24"/>
          <w:shd w:val="clear" w:color="auto" w:fill="FFFFFF"/>
        </w:rPr>
        <w:t>la educación y prevención sobre las adicciones y</w:t>
      </w:r>
      <w:r>
        <w:rPr>
          <w:rFonts w:ascii="Times New Roman" w:hAnsi="Times New Roman" w:cs="Times New Roman"/>
          <w:color w:val="auto"/>
          <w:sz w:val="24"/>
          <w:szCs w:val="24"/>
          <w:shd w:val="clear" w:color="auto" w:fill="FFFFFF"/>
        </w:rPr>
        <w:t xml:space="preserve"> </w:t>
      </w:r>
      <w:r w:rsidRPr="00EA294C">
        <w:rPr>
          <w:rFonts w:ascii="Times New Roman" w:hAnsi="Times New Roman" w:cs="Times New Roman"/>
          <w:color w:val="auto"/>
          <w:sz w:val="24"/>
          <w:szCs w:val="24"/>
          <w:shd w:val="clear" w:color="auto" w:fill="FFFFFF"/>
        </w:rPr>
        <w:t>el consumo indebido de drogas</w:t>
      </w:r>
      <w:r w:rsidRPr="00EA294C">
        <w:rPr>
          <w:rFonts w:ascii="Times New Roman" w:eastAsia="Times New Roman" w:hAnsi="Times New Roman" w:cs="Times New Roman"/>
          <w:color w:val="auto"/>
          <w:sz w:val="24"/>
          <w:szCs w:val="24"/>
          <w:lang w:val="es-ES_tradnl" w:eastAsia="es-ES"/>
        </w:rPr>
        <w:t xml:space="preserve"> y</w:t>
      </w:r>
      <w:r>
        <w:rPr>
          <w:rFonts w:ascii="Times New Roman" w:eastAsia="Times New Roman" w:hAnsi="Times New Roman" w:cs="Times New Roman"/>
          <w:color w:val="auto"/>
          <w:sz w:val="24"/>
          <w:szCs w:val="24"/>
          <w:lang w:val="es-ES_tradnl" w:eastAsia="es-ES"/>
        </w:rPr>
        <w:t>,</w:t>
      </w:r>
      <w:r w:rsidRPr="00EA294C">
        <w:rPr>
          <w:rFonts w:ascii="Times New Roman" w:eastAsia="Times New Roman" w:hAnsi="Times New Roman" w:cs="Times New Roman"/>
          <w:color w:val="auto"/>
          <w:sz w:val="24"/>
          <w:szCs w:val="24"/>
          <w:lang w:val="es-ES_tradnl" w:eastAsia="es-ES"/>
        </w:rPr>
        <w:t xml:space="preserve"> por las razones que dará su miembro informante</w:t>
      </w:r>
      <w:r>
        <w:rPr>
          <w:rFonts w:ascii="Times New Roman" w:eastAsia="Times New Roman" w:hAnsi="Times New Roman" w:cs="Times New Roman"/>
          <w:color w:val="auto"/>
          <w:sz w:val="24"/>
          <w:szCs w:val="24"/>
          <w:lang w:val="es-ES_tradnl" w:eastAsia="es-ES"/>
        </w:rPr>
        <w:t>,</w:t>
      </w:r>
      <w:r w:rsidRPr="00EA294C">
        <w:rPr>
          <w:rFonts w:ascii="Times New Roman" w:eastAsia="Times New Roman" w:hAnsi="Times New Roman" w:cs="Times New Roman"/>
          <w:color w:val="auto"/>
          <w:sz w:val="24"/>
          <w:szCs w:val="24"/>
          <w:lang w:val="es-ES_tradnl" w:eastAsia="es-ES"/>
        </w:rPr>
        <w:t xml:space="preserve"> aconseja su aprobación en los siguientes términos.</w:t>
      </w:r>
    </w:p>
    <w:p w:rsidR="00EA294C" w:rsidRDefault="00EA294C" w:rsidP="00EA294C">
      <w:pPr>
        <w:spacing w:after="100" w:afterAutospacing="1" w:line="240" w:lineRule="auto"/>
        <w:ind w:right="-493"/>
        <w:rPr>
          <w:rFonts w:ascii="Times New Roman" w:hAnsi="Times New Roman" w:cs="Times New Roman"/>
          <w:sz w:val="24"/>
          <w:szCs w:val="24"/>
        </w:rPr>
      </w:pPr>
    </w:p>
    <w:p w:rsidR="00EA294C" w:rsidRPr="00EA294C" w:rsidRDefault="00EA294C" w:rsidP="00581073">
      <w:pPr>
        <w:spacing w:line="240" w:lineRule="auto"/>
        <w:ind w:right="-493"/>
        <w:jc w:val="center"/>
        <w:rPr>
          <w:rFonts w:ascii="Times New Roman" w:hAnsi="Times New Roman" w:cs="Times New Roman"/>
          <w:b/>
          <w:sz w:val="24"/>
          <w:szCs w:val="24"/>
        </w:rPr>
      </w:pPr>
      <w:r w:rsidRPr="00EA294C">
        <w:rPr>
          <w:rFonts w:ascii="Times New Roman" w:hAnsi="Times New Roman" w:cs="Times New Roman"/>
          <w:b/>
          <w:sz w:val="24"/>
          <w:szCs w:val="24"/>
        </w:rPr>
        <w:t>LA LEGISLATURA DE LA PROVINCIA DE ENTRE RÍOS</w:t>
      </w:r>
    </w:p>
    <w:p w:rsidR="00EA294C" w:rsidRDefault="00EA294C" w:rsidP="00581073">
      <w:pPr>
        <w:spacing w:line="240" w:lineRule="auto"/>
        <w:ind w:right="-493"/>
        <w:jc w:val="center"/>
        <w:rPr>
          <w:rFonts w:ascii="Times New Roman" w:hAnsi="Times New Roman" w:cs="Times New Roman"/>
          <w:b/>
          <w:sz w:val="24"/>
          <w:szCs w:val="24"/>
        </w:rPr>
      </w:pPr>
      <w:r w:rsidRPr="00EA294C">
        <w:rPr>
          <w:rFonts w:ascii="Times New Roman" w:hAnsi="Times New Roman" w:cs="Times New Roman"/>
          <w:b/>
          <w:sz w:val="24"/>
          <w:szCs w:val="24"/>
        </w:rPr>
        <w:t xml:space="preserve">SANCIONA CON FUERZA DE </w:t>
      </w:r>
    </w:p>
    <w:p w:rsidR="00581073" w:rsidRPr="00EA294C" w:rsidRDefault="00581073" w:rsidP="00581073">
      <w:pPr>
        <w:spacing w:line="240" w:lineRule="auto"/>
        <w:ind w:right="-493"/>
        <w:jc w:val="center"/>
        <w:rPr>
          <w:rFonts w:ascii="Times New Roman" w:hAnsi="Times New Roman" w:cs="Times New Roman"/>
          <w:b/>
          <w:sz w:val="24"/>
          <w:szCs w:val="24"/>
        </w:rPr>
      </w:pPr>
    </w:p>
    <w:p w:rsidR="00EA294C" w:rsidRPr="00EA294C" w:rsidRDefault="00EA294C" w:rsidP="00EA294C">
      <w:pPr>
        <w:spacing w:after="100" w:afterAutospacing="1" w:line="240" w:lineRule="auto"/>
        <w:ind w:right="-493"/>
        <w:jc w:val="center"/>
        <w:rPr>
          <w:rFonts w:ascii="Times New Roman" w:hAnsi="Times New Roman" w:cs="Times New Roman"/>
          <w:b/>
          <w:sz w:val="24"/>
          <w:szCs w:val="24"/>
        </w:rPr>
      </w:pPr>
      <w:r w:rsidRPr="00EA294C">
        <w:rPr>
          <w:rFonts w:ascii="Times New Roman" w:hAnsi="Times New Roman" w:cs="Times New Roman"/>
          <w:b/>
          <w:sz w:val="24"/>
          <w:szCs w:val="24"/>
        </w:rPr>
        <w:t>LEY:</w:t>
      </w:r>
    </w:p>
    <w:p w:rsidR="00EA294C" w:rsidRDefault="00EA294C" w:rsidP="00EA294C">
      <w:pPr>
        <w:spacing w:after="100" w:afterAutospacing="1" w:line="240" w:lineRule="auto"/>
        <w:ind w:right="-493"/>
        <w:contextualSpacing/>
        <w:jc w:val="both"/>
        <w:rPr>
          <w:rFonts w:ascii="Times New Roman" w:hAnsi="Times New Roman" w:cs="Times New Roman"/>
          <w:sz w:val="24"/>
          <w:szCs w:val="24"/>
        </w:rPr>
      </w:pPr>
      <w:r>
        <w:rPr>
          <w:rFonts w:ascii="Times New Roman" w:hAnsi="Times New Roman" w:cs="Times New Roman"/>
          <w:sz w:val="24"/>
          <w:szCs w:val="24"/>
        </w:rPr>
        <w:t xml:space="preserve">Artículo 1º: </w:t>
      </w:r>
      <w:r w:rsidRPr="00EA294C">
        <w:rPr>
          <w:rFonts w:ascii="Times New Roman" w:hAnsi="Times New Roman" w:cs="Times New Roman"/>
          <w:sz w:val="24"/>
          <w:szCs w:val="24"/>
        </w:rPr>
        <w:t>Modifícase el artículo 11° de la Ley N° 9890, el que quedará redactado de la  siguiente manera:</w:t>
      </w:r>
    </w:p>
    <w:p w:rsidR="00EA294C" w:rsidRDefault="00EA294C" w:rsidP="00EA294C">
      <w:pPr>
        <w:spacing w:after="100" w:afterAutospacing="1" w:line="240" w:lineRule="auto"/>
        <w:ind w:right="-493"/>
        <w:contextualSpacing/>
        <w:jc w:val="both"/>
        <w:rPr>
          <w:rFonts w:ascii="Times New Roman" w:hAnsi="Times New Roman" w:cs="Times New Roman"/>
          <w:sz w:val="24"/>
          <w:szCs w:val="24"/>
        </w:rPr>
      </w:pPr>
    </w:p>
    <w:p w:rsidR="00EA294C" w:rsidRPr="00EA294C" w:rsidRDefault="00EA294C" w:rsidP="00EA294C">
      <w:pPr>
        <w:spacing w:after="100" w:afterAutospacing="1" w:line="240" w:lineRule="auto"/>
        <w:ind w:right="-493"/>
        <w:jc w:val="both"/>
        <w:rPr>
          <w:rFonts w:ascii="Times New Roman" w:hAnsi="Times New Roman" w:cs="Times New Roman"/>
          <w:sz w:val="24"/>
          <w:szCs w:val="24"/>
        </w:rPr>
      </w:pPr>
      <w:r w:rsidRPr="00EA294C">
        <w:rPr>
          <w:rFonts w:ascii="Times New Roman" w:hAnsi="Times New Roman" w:cs="Times New Roman"/>
          <w:sz w:val="24"/>
          <w:szCs w:val="24"/>
        </w:rPr>
        <w:t>“Artículo 11°. El Consejo General de Educación aprobará los lineamientos curriculares para cada nivel educativo obligatorio</w:t>
      </w:r>
      <w:r w:rsidR="00101C09">
        <w:rPr>
          <w:rFonts w:ascii="Times New Roman" w:hAnsi="Times New Roman" w:cs="Times New Roman"/>
          <w:sz w:val="24"/>
          <w:szCs w:val="24"/>
        </w:rPr>
        <w:t>,</w:t>
      </w:r>
      <w:r w:rsidRPr="00EA294C">
        <w:rPr>
          <w:rFonts w:ascii="Times New Roman" w:hAnsi="Times New Roman" w:cs="Times New Roman"/>
          <w:sz w:val="24"/>
          <w:szCs w:val="24"/>
        </w:rPr>
        <w:t xml:space="preserve"> integrándose de manera transversal, educación con cultura, derechos humanos, culturas ancestrales, patrimonio tangible e intangible, cooperativismo y mutualismo, educación para la paz, la resolución pacífica de conflictos, trabajo, ciencia y tecnología, educación ambiental y educación y prevención sobre las adicciones y el consumo indebido de drogas”</w:t>
      </w:r>
      <w:r w:rsidR="00581073">
        <w:rPr>
          <w:rFonts w:ascii="Times New Roman" w:hAnsi="Times New Roman" w:cs="Times New Roman"/>
          <w:sz w:val="24"/>
          <w:szCs w:val="24"/>
        </w:rPr>
        <w:t>.</w:t>
      </w:r>
    </w:p>
    <w:p w:rsidR="00EA294C" w:rsidRPr="00EA294C" w:rsidRDefault="00EA294C" w:rsidP="00EA294C">
      <w:pPr>
        <w:spacing w:after="100" w:afterAutospacing="1" w:line="240" w:lineRule="auto"/>
        <w:ind w:right="-493"/>
        <w:contextualSpacing/>
        <w:jc w:val="both"/>
        <w:rPr>
          <w:rFonts w:ascii="Times New Roman" w:hAnsi="Times New Roman" w:cs="Times New Roman"/>
          <w:sz w:val="24"/>
          <w:szCs w:val="24"/>
        </w:rPr>
      </w:pPr>
      <w:r>
        <w:rPr>
          <w:rFonts w:ascii="Times New Roman" w:hAnsi="Times New Roman" w:cs="Times New Roman"/>
          <w:sz w:val="24"/>
          <w:szCs w:val="24"/>
        </w:rPr>
        <w:t xml:space="preserve">Artículo 2º: </w:t>
      </w:r>
      <w:r w:rsidR="00792348">
        <w:rPr>
          <w:rFonts w:ascii="Times New Roman" w:hAnsi="Times New Roman" w:cs="Times New Roman"/>
          <w:sz w:val="24"/>
          <w:szCs w:val="24"/>
        </w:rPr>
        <w:t>Comuníquese.-</w:t>
      </w:r>
    </w:p>
    <w:p w:rsidR="00EA294C" w:rsidRDefault="00EA294C" w:rsidP="00EA294C">
      <w:pPr>
        <w:spacing w:after="100" w:afterAutospacing="1" w:line="240" w:lineRule="auto"/>
        <w:ind w:right="-493"/>
        <w:jc w:val="both"/>
        <w:rPr>
          <w:rFonts w:ascii="Times New Roman" w:hAnsi="Times New Roman" w:cs="Times New Roman"/>
          <w:sz w:val="24"/>
          <w:szCs w:val="24"/>
        </w:rPr>
      </w:pPr>
    </w:p>
    <w:p w:rsidR="00EA294C" w:rsidRPr="00EA294C" w:rsidRDefault="00EA294C" w:rsidP="00EA294C">
      <w:pPr>
        <w:spacing w:after="100" w:afterAutospacing="1" w:line="240" w:lineRule="auto"/>
        <w:ind w:right="-493"/>
        <w:jc w:val="both"/>
        <w:rPr>
          <w:rFonts w:ascii="Times New Roman" w:hAnsi="Times New Roman" w:cs="Times New Roman"/>
          <w:sz w:val="24"/>
          <w:szCs w:val="24"/>
        </w:rPr>
      </w:pPr>
    </w:p>
    <w:p w:rsidR="00EA294C" w:rsidRPr="00EA294C" w:rsidRDefault="00EA294C" w:rsidP="00EA294C">
      <w:pPr>
        <w:autoSpaceDE w:val="0"/>
        <w:autoSpaceDN w:val="0"/>
        <w:adjustRightInd w:val="0"/>
        <w:ind w:left="2304" w:right="-495" w:firstLine="528"/>
        <w:rPr>
          <w:rFonts w:ascii="Times New Roman" w:hAnsi="Times New Roman" w:cs="Times New Roman"/>
          <w:b/>
          <w:bCs/>
          <w:sz w:val="24"/>
          <w:szCs w:val="24"/>
          <w:lang w:val="es-ES_tradnl" w:eastAsia="ar-SA"/>
        </w:rPr>
      </w:pPr>
      <w:r w:rsidRPr="00EA294C">
        <w:rPr>
          <w:rFonts w:ascii="Times New Roman" w:hAnsi="Times New Roman" w:cs="Times New Roman"/>
          <w:b/>
          <w:bCs/>
          <w:sz w:val="24"/>
          <w:szCs w:val="24"/>
          <w:lang w:val="es-ES_tradnl" w:eastAsia="ar-SA"/>
        </w:rPr>
        <w:t xml:space="preserve">PARANÁ, Sala de Comisiones, </w:t>
      </w:r>
    </w:p>
    <w:p w:rsidR="00EA294C" w:rsidRPr="00EA294C" w:rsidRDefault="00EA294C" w:rsidP="00EA294C">
      <w:pPr>
        <w:autoSpaceDE w:val="0"/>
        <w:autoSpaceDN w:val="0"/>
        <w:adjustRightInd w:val="0"/>
        <w:ind w:left="180" w:right="-495"/>
        <w:jc w:val="both"/>
        <w:rPr>
          <w:rFonts w:ascii="Times New Roman" w:hAnsi="Times New Roman" w:cs="Times New Roman"/>
          <w:b/>
          <w:bCs/>
          <w:sz w:val="24"/>
          <w:szCs w:val="24"/>
          <w:lang w:val="es-ES_tradnl" w:eastAsia="ar-SA"/>
        </w:rPr>
      </w:pPr>
    </w:p>
    <w:p w:rsidR="00EA294C" w:rsidRPr="00EA294C" w:rsidRDefault="00EA294C" w:rsidP="00EA294C">
      <w:pPr>
        <w:autoSpaceDE w:val="0"/>
        <w:autoSpaceDN w:val="0"/>
        <w:adjustRightInd w:val="0"/>
        <w:ind w:left="180" w:right="-495"/>
        <w:jc w:val="both"/>
        <w:rPr>
          <w:rFonts w:ascii="Times New Roman" w:hAnsi="Times New Roman" w:cs="Times New Roman"/>
          <w:b/>
          <w:bCs/>
          <w:sz w:val="24"/>
          <w:szCs w:val="24"/>
          <w:lang w:val="es-ES_tradnl" w:eastAsia="ar-SA"/>
        </w:rPr>
      </w:pPr>
    </w:p>
    <w:p w:rsidR="00EA294C" w:rsidRPr="00EA294C" w:rsidRDefault="00EA294C" w:rsidP="00EA294C">
      <w:pPr>
        <w:autoSpaceDE w:val="0"/>
        <w:autoSpaceDN w:val="0"/>
        <w:adjustRightInd w:val="0"/>
        <w:ind w:left="180" w:right="-495"/>
        <w:jc w:val="both"/>
        <w:rPr>
          <w:rFonts w:ascii="Times New Roman" w:hAnsi="Times New Roman" w:cs="Times New Roman"/>
          <w:b/>
          <w:bCs/>
          <w:sz w:val="24"/>
          <w:szCs w:val="24"/>
          <w:lang w:val="es-ES_tradnl" w:eastAsia="ar-SA"/>
        </w:rPr>
      </w:pPr>
    </w:p>
    <w:p w:rsidR="00EA294C" w:rsidRPr="00EA294C" w:rsidRDefault="00EA294C" w:rsidP="00EA294C">
      <w:pPr>
        <w:autoSpaceDE w:val="0"/>
        <w:autoSpaceDN w:val="0"/>
        <w:adjustRightInd w:val="0"/>
        <w:ind w:left="180" w:right="-495"/>
        <w:jc w:val="both"/>
        <w:rPr>
          <w:rFonts w:ascii="Times New Roman" w:hAnsi="Times New Roman" w:cs="Times New Roman"/>
          <w:b/>
          <w:bCs/>
          <w:sz w:val="24"/>
          <w:szCs w:val="24"/>
          <w:lang w:val="es-ES_tradnl" w:eastAsia="ar-SA"/>
        </w:rPr>
      </w:pPr>
    </w:p>
    <w:p w:rsidR="00EA294C" w:rsidRPr="00EA294C" w:rsidRDefault="00EA294C" w:rsidP="00EA294C">
      <w:pPr>
        <w:autoSpaceDE w:val="0"/>
        <w:autoSpaceDN w:val="0"/>
        <w:adjustRightInd w:val="0"/>
        <w:ind w:left="180" w:right="-495"/>
        <w:jc w:val="both"/>
        <w:rPr>
          <w:rFonts w:ascii="Times New Roman" w:hAnsi="Times New Roman" w:cs="Times New Roman"/>
          <w:sz w:val="24"/>
          <w:szCs w:val="24"/>
          <w:lang w:eastAsia="ar-SA"/>
        </w:rPr>
      </w:pPr>
      <w:r w:rsidRPr="00EA294C">
        <w:rPr>
          <w:rFonts w:ascii="Times New Roman" w:hAnsi="Times New Roman" w:cs="Times New Roman"/>
          <w:b/>
          <w:bCs/>
          <w:sz w:val="24"/>
          <w:szCs w:val="24"/>
          <w:lang w:eastAsia="ar-SA"/>
        </w:rPr>
        <w:t xml:space="preserve">MORCHIO, </w:t>
      </w:r>
      <w:r w:rsidRPr="00EA294C">
        <w:rPr>
          <w:rFonts w:ascii="Times New Roman" w:hAnsi="Times New Roman" w:cs="Times New Roman"/>
          <w:sz w:val="24"/>
          <w:szCs w:val="24"/>
          <w:lang w:eastAsia="ar-SA"/>
        </w:rPr>
        <w:t>Francisco Alejandro</w:t>
      </w:r>
      <w:r w:rsidRPr="00EA294C">
        <w:rPr>
          <w:rFonts w:ascii="Times New Roman" w:hAnsi="Times New Roman" w:cs="Times New Roman"/>
          <w:b/>
          <w:bCs/>
          <w:sz w:val="24"/>
          <w:szCs w:val="24"/>
          <w:lang w:eastAsia="ar-SA"/>
        </w:rPr>
        <w:tab/>
      </w:r>
      <w:r w:rsidRPr="00EA294C">
        <w:rPr>
          <w:rFonts w:ascii="Times New Roman" w:hAnsi="Times New Roman" w:cs="Times New Roman"/>
          <w:b/>
          <w:bCs/>
          <w:sz w:val="24"/>
          <w:szCs w:val="24"/>
          <w:lang w:eastAsia="ar-SA"/>
        </w:rPr>
        <w:tab/>
      </w:r>
      <w:r w:rsidRPr="00EA294C">
        <w:rPr>
          <w:rFonts w:ascii="Times New Roman" w:hAnsi="Times New Roman" w:cs="Times New Roman"/>
          <w:b/>
          <w:bCs/>
          <w:sz w:val="24"/>
          <w:szCs w:val="24"/>
          <w:lang w:eastAsia="ar-SA"/>
        </w:rPr>
        <w:tab/>
        <w:t xml:space="preserve">MIRANDA, </w:t>
      </w:r>
      <w:r w:rsidRPr="00EA294C">
        <w:rPr>
          <w:rFonts w:ascii="Times New Roman" w:hAnsi="Times New Roman" w:cs="Times New Roman"/>
          <w:bCs/>
          <w:sz w:val="24"/>
          <w:szCs w:val="24"/>
          <w:lang w:eastAsia="ar-SA"/>
        </w:rPr>
        <w:t>Nancy Susana</w:t>
      </w:r>
    </w:p>
    <w:p w:rsidR="00EA294C" w:rsidRPr="00EA294C" w:rsidRDefault="00EA294C" w:rsidP="00EA294C">
      <w:pPr>
        <w:autoSpaceDE w:val="0"/>
        <w:autoSpaceDN w:val="0"/>
        <w:adjustRightInd w:val="0"/>
        <w:ind w:left="180" w:right="-495"/>
        <w:jc w:val="both"/>
        <w:rPr>
          <w:rFonts w:ascii="Times New Roman" w:hAnsi="Times New Roman" w:cs="Times New Roman"/>
          <w:sz w:val="24"/>
          <w:szCs w:val="24"/>
          <w:lang w:eastAsia="ar-SA"/>
        </w:rPr>
      </w:pPr>
    </w:p>
    <w:p w:rsidR="00EA294C" w:rsidRPr="00EA294C" w:rsidRDefault="00EA294C" w:rsidP="00EA294C">
      <w:pPr>
        <w:autoSpaceDE w:val="0"/>
        <w:autoSpaceDN w:val="0"/>
        <w:adjustRightInd w:val="0"/>
        <w:ind w:left="180" w:right="-495"/>
        <w:jc w:val="both"/>
        <w:rPr>
          <w:rFonts w:ascii="Times New Roman" w:hAnsi="Times New Roman" w:cs="Times New Roman"/>
          <w:sz w:val="24"/>
          <w:szCs w:val="24"/>
          <w:lang w:eastAsia="ar-SA"/>
        </w:rPr>
      </w:pPr>
    </w:p>
    <w:p w:rsidR="00EA294C" w:rsidRPr="00EA294C" w:rsidRDefault="00EA294C" w:rsidP="00EA294C">
      <w:pPr>
        <w:autoSpaceDE w:val="0"/>
        <w:autoSpaceDN w:val="0"/>
        <w:adjustRightInd w:val="0"/>
        <w:ind w:left="180" w:right="-495"/>
        <w:jc w:val="both"/>
        <w:rPr>
          <w:rFonts w:ascii="Times New Roman" w:hAnsi="Times New Roman" w:cs="Times New Roman"/>
          <w:sz w:val="24"/>
          <w:szCs w:val="24"/>
          <w:lang w:eastAsia="ar-SA"/>
        </w:rPr>
      </w:pPr>
    </w:p>
    <w:p w:rsidR="00EA294C" w:rsidRPr="00EA294C" w:rsidRDefault="00EA294C" w:rsidP="00EA294C">
      <w:pPr>
        <w:autoSpaceDE w:val="0"/>
        <w:autoSpaceDN w:val="0"/>
        <w:adjustRightInd w:val="0"/>
        <w:ind w:left="180" w:right="-495"/>
        <w:jc w:val="both"/>
        <w:rPr>
          <w:rFonts w:ascii="Times New Roman" w:hAnsi="Times New Roman" w:cs="Times New Roman"/>
          <w:sz w:val="24"/>
          <w:szCs w:val="24"/>
          <w:lang w:eastAsia="ar-SA"/>
        </w:rPr>
      </w:pPr>
      <w:r w:rsidRPr="00EA294C">
        <w:rPr>
          <w:rFonts w:ascii="Times New Roman" w:hAnsi="Times New Roman" w:cs="Times New Roman"/>
          <w:b/>
          <w:bCs/>
          <w:sz w:val="24"/>
          <w:szCs w:val="24"/>
          <w:lang w:eastAsia="ar-SA"/>
        </w:rPr>
        <w:t xml:space="preserve">BONATO, </w:t>
      </w:r>
      <w:r w:rsidRPr="00EA294C">
        <w:rPr>
          <w:rFonts w:ascii="Times New Roman" w:hAnsi="Times New Roman" w:cs="Times New Roman"/>
          <w:bCs/>
          <w:sz w:val="24"/>
          <w:szCs w:val="24"/>
          <w:lang w:eastAsia="ar-SA"/>
        </w:rPr>
        <w:t xml:space="preserve">René </w:t>
      </w:r>
      <w:r w:rsidRPr="00EA294C">
        <w:rPr>
          <w:rFonts w:ascii="Times New Roman" w:hAnsi="Times New Roman" w:cs="Times New Roman"/>
          <w:b/>
          <w:bCs/>
          <w:sz w:val="24"/>
          <w:szCs w:val="24"/>
          <w:lang w:eastAsia="ar-SA"/>
        </w:rPr>
        <w:tab/>
      </w:r>
      <w:r w:rsidRPr="00EA294C">
        <w:rPr>
          <w:rFonts w:ascii="Times New Roman" w:hAnsi="Times New Roman" w:cs="Times New Roman"/>
          <w:b/>
          <w:bCs/>
          <w:sz w:val="24"/>
          <w:szCs w:val="24"/>
          <w:lang w:eastAsia="ar-SA"/>
        </w:rPr>
        <w:tab/>
      </w:r>
      <w:r w:rsidRPr="00EA294C">
        <w:rPr>
          <w:rFonts w:ascii="Times New Roman" w:hAnsi="Times New Roman" w:cs="Times New Roman"/>
          <w:b/>
          <w:bCs/>
          <w:sz w:val="24"/>
          <w:szCs w:val="24"/>
          <w:lang w:eastAsia="ar-SA"/>
        </w:rPr>
        <w:tab/>
      </w:r>
      <w:r w:rsidRPr="00EA294C">
        <w:rPr>
          <w:rFonts w:ascii="Times New Roman" w:hAnsi="Times New Roman" w:cs="Times New Roman"/>
          <w:b/>
          <w:bCs/>
          <w:sz w:val="24"/>
          <w:szCs w:val="24"/>
          <w:lang w:eastAsia="ar-SA"/>
        </w:rPr>
        <w:tab/>
      </w:r>
      <w:r w:rsidRPr="00EA294C">
        <w:rPr>
          <w:rFonts w:ascii="Times New Roman" w:hAnsi="Times New Roman" w:cs="Times New Roman"/>
          <w:b/>
          <w:bCs/>
          <w:sz w:val="24"/>
          <w:szCs w:val="24"/>
          <w:lang w:eastAsia="ar-SA"/>
        </w:rPr>
        <w:tab/>
      </w:r>
      <w:r w:rsidRPr="00EA294C">
        <w:rPr>
          <w:rFonts w:ascii="Times New Roman" w:hAnsi="Times New Roman" w:cs="Times New Roman"/>
          <w:b/>
          <w:bCs/>
          <w:sz w:val="24"/>
          <w:szCs w:val="24"/>
          <w:lang w:eastAsia="ar-SA"/>
        </w:rPr>
        <w:tab/>
        <w:t xml:space="preserve">ESPINOZA, </w:t>
      </w:r>
      <w:r w:rsidRPr="00EA294C">
        <w:rPr>
          <w:rFonts w:ascii="Times New Roman" w:hAnsi="Times New Roman" w:cs="Times New Roman"/>
          <w:bCs/>
          <w:sz w:val="24"/>
          <w:szCs w:val="24"/>
          <w:lang w:eastAsia="ar-SA"/>
        </w:rPr>
        <w:t>Miriam Liliana</w:t>
      </w:r>
    </w:p>
    <w:p w:rsidR="00EA294C" w:rsidRPr="00EA294C" w:rsidRDefault="00EA294C" w:rsidP="00EA294C">
      <w:pPr>
        <w:autoSpaceDE w:val="0"/>
        <w:autoSpaceDN w:val="0"/>
        <w:adjustRightInd w:val="0"/>
        <w:ind w:left="180" w:right="-495"/>
        <w:jc w:val="both"/>
        <w:rPr>
          <w:rFonts w:ascii="Times New Roman" w:hAnsi="Times New Roman" w:cs="Times New Roman"/>
          <w:b/>
          <w:bCs/>
          <w:sz w:val="24"/>
          <w:szCs w:val="24"/>
          <w:lang w:eastAsia="ar-SA"/>
        </w:rPr>
      </w:pPr>
    </w:p>
    <w:p w:rsidR="00EA294C" w:rsidRPr="00EA294C" w:rsidRDefault="00EA294C" w:rsidP="00EA294C">
      <w:pPr>
        <w:autoSpaceDE w:val="0"/>
        <w:autoSpaceDN w:val="0"/>
        <w:adjustRightInd w:val="0"/>
        <w:ind w:left="180" w:right="-495"/>
        <w:jc w:val="both"/>
        <w:rPr>
          <w:rFonts w:ascii="Times New Roman" w:hAnsi="Times New Roman" w:cs="Times New Roman"/>
          <w:b/>
          <w:bCs/>
          <w:sz w:val="24"/>
          <w:szCs w:val="24"/>
          <w:lang w:eastAsia="ar-SA"/>
        </w:rPr>
      </w:pPr>
    </w:p>
    <w:p w:rsidR="00EA294C" w:rsidRPr="00EA294C" w:rsidRDefault="00EA294C" w:rsidP="00EA294C">
      <w:pPr>
        <w:autoSpaceDE w:val="0"/>
        <w:autoSpaceDN w:val="0"/>
        <w:adjustRightInd w:val="0"/>
        <w:ind w:left="180" w:right="-495"/>
        <w:jc w:val="both"/>
        <w:rPr>
          <w:rFonts w:ascii="Times New Roman" w:hAnsi="Times New Roman" w:cs="Times New Roman"/>
          <w:b/>
          <w:bCs/>
          <w:sz w:val="24"/>
          <w:szCs w:val="24"/>
          <w:lang w:eastAsia="ar-SA"/>
        </w:rPr>
      </w:pPr>
    </w:p>
    <w:p w:rsidR="00EA294C" w:rsidRPr="00EA294C" w:rsidRDefault="00EA294C" w:rsidP="00EA294C">
      <w:pPr>
        <w:autoSpaceDE w:val="0"/>
        <w:autoSpaceDN w:val="0"/>
        <w:adjustRightInd w:val="0"/>
        <w:ind w:left="180" w:right="-495"/>
        <w:jc w:val="both"/>
        <w:rPr>
          <w:rFonts w:ascii="Times New Roman" w:hAnsi="Times New Roman" w:cs="Times New Roman"/>
          <w:b/>
          <w:bCs/>
          <w:sz w:val="24"/>
          <w:szCs w:val="24"/>
          <w:lang w:eastAsia="ar-SA"/>
        </w:rPr>
      </w:pPr>
      <w:r w:rsidRPr="00EA294C">
        <w:rPr>
          <w:rFonts w:ascii="Times New Roman" w:hAnsi="Times New Roman" w:cs="Times New Roman"/>
          <w:b/>
          <w:bCs/>
          <w:sz w:val="24"/>
          <w:szCs w:val="24"/>
          <w:lang w:eastAsia="ar-SA"/>
        </w:rPr>
        <w:lastRenderedPageBreak/>
        <w:t xml:space="preserve">PIANA, </w:t>
      </w:r>
      <w:r w:rsidRPr="00EA294C">
        <w:rPr>
          <w:rFonts w:ascii="Times New Roman" w:hAnsi="Times New Roman" w:cs="Times New Roman"/>
          <w:bCs/>
          <w:sz w:val="24"/>
          <w:szCs w:val="24"/>
          <w:lang w:eastAsia="ar-SA"/>
        </w:rPr>
        <w:t>Miguel David</w:t>
      </w:r>
      <w:r w:rsidRPr="00EA294C">
        <w:rPr>
          <w:rFonts w:ascii="Times New Roman" w:hAnsi="Times New Roman" w:cs="Times New Roman"/>
          <w:b/>
          <w:bCs/>
          <w:sz w:val="24"/>
          <w:szCs w:val="24"/>
          <w:lang w:eastAsia="ar-SA"/>
        </w:rPr>
        <w:tab/>
      </w:r>
      <w:r w:rsidRPr="00EA294C">
        <w:rPr>
          <w:rFonts w:ascii="Times New Roman" w:hAnsi="Times New Roman" w:cs="Times New Roman"/>
          <w:b/>
          <w:bCs/>
          <w:sz w:val="24"/>
          <w:szCs w:val="24"/>
          <w:lang w:eastAsia="ar-SA"/>
        </w:rPr>
        <w:tab/>
      </w:r>
      <w:r w:rsidRPr="00EA294C">
        <w:rPr>
          <w:rFonts w:ascii="Times New Roman" w:hAnsi="Times New Roman" w:cs="Times New Roman"/>
          <w:b/>
          <w:bCs/>
          <w:sz w:val="24"/>
          <w:szCs w:val="24"/>
          <w:lang w:eastAsia="ar-SA"/>
        </w:rPr>
        <w:tab/>
      </w:r>
      <w:r w:rsidRPr="00EA294C">
        <w:rPr>
          <w:rFonts w:ascii="Times New Roman" w:hAnsi="Times New Roman" w:cs="Times New Roman"/>
          <w:b/>
          <w:bCs/>
          <w:sz w:val="24"/>
          <w:szCs w:val="24"/>
          <w:lang w:eastAsia="ar-SA"/>
        </w:rPr>
        <w:tab/>
      </w:r>
      <w:r w:rsidRPr="00EA294C">
        <w:rPr>
          <w:rFonts w:ascii="Times New Roman" w:hAnsi="Times New Roman" w:cs="Times New Roman"/>
          <w:b/>
          <w:bCs/>
          <w:sz w:val="24"/>
          <w:szCs w:val="24"/>
          <w:lang w:eastAsia="ar-SA"/>
        </w:rPr>
        <w:tab/>
        <w:t xml:space="preserve">LORA, </w:t>
      </w:r>
      <w:r w:rsidRPr="00EA294C">
        <w:rPr>
          <w:rFonts w:ascii="Times New Roman" w:hAnsi="Times New Roman" w:cs="Times New Roman"/>
          <w:bCs/>
          <w:sz w:val="24"/>
          <w:szCs w:val="24"/>
          <w:lang w:eastAsia="ar-SA"/>
        </w:rPr>
        <w:t>Beltrán Alberto</w:t>
      </w:r>
    </w:p>
    <w:p w:rsidR="00EA294C" w:rsidRPr="00EA294C" w:rsidRDefault="00EA294C" w:rsidP="00EA294C">
      <w:pPr>
        <w:autoSpaceDE w:val="0"/>
        <w:autoSpaceDN w:val="0"/>
        <w:adjustRightInd w:val="0"/>
        <w:ind w:left="180" w:right="-495"/>
        <w:jc w:val="both"/>
        <w:rPr>
          <w:rFonts w:ascii="Times New Roman" w:hAnsi="Times New Roman" w:cs="Times New Roman"/>
          <w:b/>
          <w:bCs/>
          <w:sz w:val="24"/>
          <w:szCs w:val="24"/>
          <w:lang w:eastAsia="ar-SA"/>
        </w:rPr>
      </w:pPr>
    </w:p>
    <w:p w:rsidR="00EA294C" w:rsidRPr="00EA294C" w:rsidRDefault="00EA294C" w:rsidP="00EA294C">
      <w:pPr>
        <w:autoSpaceDE w:val="0"/>
        <w:autoSpaceDN w:val="0"/>
        <w:adjustRightInd w:val="0"/>
        <w:ind w:left="180" w:right="-495"/>
        <w:jc w:val="both"/>
        <w:rPr>
          <w:rFonts w:ascii="Times New Roman" w:hAnsi="Times New Roman" w:cs="Times New Roman"/>
          <w:b/>
          <w:bCs/>
          <w:sz w:val="24"/>
          <w:szCs w:val="24"/>
          <w:lang w:eastAsia="ar-SA"/>
        </w:rPr>
      </w:pPr>
    </w:p>
    <w:p w:rsidR="00EA294C" w:rsidRPr="00EA294C" w:rsidRDefault="00EA294C" w:rsidP="00EA294C">
      <w:pPr>
        <w:autoSpaceDE w:val="0"/>
        <w:autoSpaceDN w:val="0"/>
        <w:adjustRightInd w:val="0"/>
        <w:ind w:left="180" w:right="-495"/>
        <w:jc w:val="both"/>
        <w:rPr>
          <w:rFonts w:ascii="Times New Roman" w:hAnsi="Times New Roman" w:cs="Times New Roman"/>
          <w:b/>
          <w:bCs/>
          <w:sz w:val="24"/>
          <w:szCs w:val="24"/>
          <w:lang w:eastAsia="ar-SA"/>
        </w:rPr>
      </w:pPr>
    </w:p>
    <w:p w:rsidR="00EA294C" w:rsidRPr="00EA294C" w:rsidRDefault="00EA294C" w:rsidP="00EA294C">
      <w:pPr>
        <w:autoSpaceDE w:val="0"/>
        <w:autoSpaceDN w:val="0"/>
        <w:adjustRightInd w:val="0"/>
        <w:ind w:left="180" w:right="-495"/>
        <w:jc w:val="both"/>
        <w:rPr>
          <w:rFonts w:ascii="Times New Roman" w:hAnsi="Times New Roman" w:cs="Times New Roman"/>
          <w:b/>
          <w:bCs/>
          <w:sz w:val="24"/>
          <w:szCs w:val="24"/>
          <w:lang w:eastAsia="ar-SA"/>
        </w:rPr>
      </w:pPr>
      <w:r w:rsidRPr="00EA294C">
        <w:rPr>
          <w:rFonts w:ascii="Times New Roman" w:hAnsi="Times New Roman" w:cs="Times New Roman"/>
          <w:b/>
          <w:bCs/>
          <w:sz w:val="24"/>
          <w:szCs w:val="24"/>
          <w:lang w:eastAsia="ar-SA"/>
        </w:rPr>
        <w:t xml:space="preserve">TORRES, </w:t>
      </w:r>
      <w:r w:rsidRPr="00EA294C">
        <w:rPr>
          <w:rFonts w:ascii="Times New Roman" w:hAnsi="Times New Roman" w:cs="Times New Roman"/>
          <w:bCs/>
          <w:sz w:val="24"/>
          <w:szCs w:val="24"/>
          <w:lang w:eastAsia="ar-SA"/>
        </w:rPr>
        <w:t>Mario César</w:t>
      </w:r>
    </w:p>
    <w:p w:rsidR="00EA294C" w:rsidRPr="00EA294C" w:rsidRDefault="00EA294C" w:rsidP="00EA294C">
      <w:pPr>
        <w:spacing w:after="100" w:afterAutospacing="1" w:line="240" w:lineRule="auto"/>
        <w:ind w:right="-493"/>
        <w:jc w:val="both"/>
        <w:rPr>
          <w:rFonts w:ascii="Times New Roman" w:hAnsi="Times New Roman" w:cs="Times New Roman"/>
          <w:sz w:val="24"/>
          <w:szCs w:val="24"/>
        </w:rPr>
      </w:pPr>
    </w:p>
    <w:p w:rsidR="00EA294C" w:rsidRDefault="00EA294C" w:rsidP="00EA294C">
      <w:pPr>
        <w:spacing w:after="100" w:afterAutospacing="1" w:line="240" w:lineRule="auto"/>
        <w:ind w:right="-493"/>
        <w:jc w:val="center"/>
        <w:rPr>
          <w:rFonts w:ascii="Times New Roman" w:hAnsi="Times New Roman" w:cs="Times New Roman"/>
          <w:sz w:val="24"/>
          <w:szCs w:val="24"/>
        </w:rPr>
      </w:pPr>
    </w:p>
    <w:p w:rsidR="00EA294C" w:rsidRDefault="00EA294C" w:rsidP="00EA294C">
      <w:pPr>
        <w:spacing w:after="100" w:afterAutospacing="1" w:line="240" w:lineRule="auto"/>
        <w:ind w:right="-493"/>
        <w:jc w:val="center"/>
        <w:rPr>
          <w:rFonts w:ascii="Times New Roman" w:hAnsi="Times New Roman" w:cs="Times New Roman"/>
          <w:sz w:val="24"/>
          <w:szCs w:val="24"/>
        </w:rPr>
      </w:pPr>
    </w:p>
    <w:p w:rsidR="00EA294C" w:rsidRDefault="00EA294C" w:rsidP="00EA294C">
      <w:pPr>
        <w:spacing w:after="100" w:afterAutospacing="1" w:line="240" w:lineRule="auto"/>
        <w:ind w:right="-493"/>
        <w:jc w:val="center"/>
        <w:rPr>
          <w:rFonts w:ascii="Times New Roman" w:hAnsi="Times New Roman" w:cs="Times New Roman"/>
          <w:sz w:val="24"/>
          <w:szCs w:val="24"/>
        </w:rPr>
      </w:pPr>
    </w:p>
    <w:p w:rsidR="00EA294C" w:rsidRDefault="00EA294C" w:rsidP="00EA294C">
      <w:pPr>
        <w:spacing w:after="100" w:afterAutospacing="1" w:line="240" w:lineRule="auto"/>
        <w:ind w:right="-493"/>
        <w:jc w:val="center"/>
        <w:rPr>
          <w:rFonts w:ascii="Times New Roman" w:hAnsi="Times New Roman" w:cs="Times New Roman"/>
          <w:sz w:val="24"/>
          <w:szCs w:val="24"/>
        </w:rPr>
      </w:pPr>
    </w:p>
    <w:p w:rsidR="00EA294C" w:rsidRDefault="00EA294C" w:rsidP="00EA294C">
      <w:pPr>
        <w:spacing w:after="100" w:afterAutospacing="1" w:line="240" w:lineRule="auto"/>
        <w:ind w:right="-493"/>
        <w:jc w:val="center"/>
        <w:rPr>
          <w:rFonts w:ascii="Times New Roman" w:hAnsi="Times New Roman" w:cs="Times New Roman"/>
          <w:sz w:val="24"/>
          <w:szCs w:val="24"/>
        </w:rPr>
      </w:pPr>
    </w:p>
    <w:p w:rsidR="00EA294C" w:rsidRDefault="00EA294C" w:rsidP="00EA294C">
      <w:pPr>
        <w:spacing w:after="100" w:afterAutospacing="1" w:line="240" w:lineRule="auto"/>
        <w:ind w:right="-493"/>
        <w:jc w:val="center"/>
        <w:rPr>
          <w:rFonts w:ascii="Times New Roman" w:hAnsi="Times New Roman" w:cs="Times New Roman"/>
          <w:sz w:val="24"/>
          <w:szCs w:val="24"/>
        </w:rPr>
      </w:pPr>
    </w:p>
    <w:p w:rsidR="00EA294C" w:rsidRDefault="00EA294C" w:rsidP="00EA294C">
      <w:pPr>
        <w:spacing w:after="100" w:afterAutospacing="1" w:line="240" w:lineRule="auto"/>
        <w:ind w:right="-493"/>
        <w:jc w:val="center"/>
        <w:rPr>
          <w:rFonts w:ascii="Times New Roman" w:hAnsi="Times New Roman" w:cs="Times New Roman"/>
          <w:sz w:val="24"/>
          <w:szCs w:val="24"/>
        </w:rPr>
      </w:pPr>
    </w:p>
    <w:p w:rsidR="00581073" w:rsidRDefault="00581073" w:rsidP="00EA294C">
      <w:pPr>
        <w:spacing w:after="100" w:afterAutospacing="1" w:line="240" w:lineRule="auto"/>
        <w:ind w:right="-493"/>
        <w:jc w:val="center"/>
        <w:rPr>
          <w:rFonts w:ascii="Times New Roman" w:hAnsi="Times New Roman" w:cs="Times New Roman"/>
          <w:sz w:val="24"/>
          <w:szCs w:val="24"/>
        </w:rPr>
      </w:pPr>
    </w:p>
    <w:p w:rsidR="00581073" w:rsidRDefault="00581073" w:rsidP="00EA294C">
      <w:pPr>
        <w:spacing w:after="100" w:afterAutospacing="1" w:line="240" w:lineRule="auto"/>
        <w:ind w:right="-493"/>
        <w:jc w:val="center"/>
        <w:rPr>
          <w:rFonts w:ascii="Times New Roman" w:hAnsi="Times New Roman" w:cs="Times New Roman"/>
          <w:sz w:val="24"/>
          <w:szCs w:val="24"/>
        </w:rPr>
      </w:pPr>
    </w:p>
    <w:p w:rsidR="00581073" w:rsidRDefault="00581073" w:rsidP="00EA294C">
      <w:pPr>
        <w:spacing w:after="100" w:afterAutospacing="1" w:line="240" w:lineRule="auto"/>
        <w:ind w:right="-493"/>
        <w:jc w:val="center"/>
        <w:rPr>
          <w:rFonts w:ascii="Times New Roman" w:hAnsi="Times New Roman" w:cs="Times New Roman"/>
          <w:sz w:val="24"/>
          <w:szCs w:val="24"/>
        </w:rPr>
      </w:pPr>
    </w:p>
    <w:p w:rsidR="00581073" w:rsidRDefault="00581073" w:rsidP="00EA294C">
      <w:pPr>
        <w:spacing w:after="100" w:afterAutospacing="1" w:line="240" w:lineRule="auto"/>
        <w:ind w:right="-493"/>
        <w:jc w:val="center"/>
        <w:rPr>
          <w:rFonts w:ascii="Times New Roman" w:hAnsi="Times New Roman" w:cs="Times New Roman"/>
          <w:sz w:val="24"/>
          <w:szCs w:val="24"/>
        </w:rPr>
      </w:pPr>
    </w:p>
    <w:p w:rsidR="00581073" w:rsidRDefault="00581073" w:rsidP="00EA294C">
      <w:pPr>
        <w:spacing w:after="100" w:afterAutospacing="1" w:line="240" w:lineRule="auto"/>
        <w:ind w:right="-493"/>
        <w:jc w:val="center"/>
        <w:rPr>
          <w:rFonts w:ascii="Times New Roman" w:hAnsi="Times New Roman" w:cs="Times New Roman"/>
          <w:sz w:val="24"/>
          <w:szCs w:val="24"/>
        </w:rPr>
      </w:pPr>
    </w:p>
    <w:p w:rsidR="00581073" w:rsidRDefault="00581073" w:rsidP="00EA294C">
      <w:pPr>
        <w:spacing w:after="100" w:afterAutospacing="1" w:line="240" w:lineRule="auto"/>
        <w:ind w:right="-493"/>
        <w:jc w:val="center"/>
        <w:rPr>
          <w:rFonts w:ascii="Times New Roman" w:hAnsi="Times New Roman" w:cs="Times New Roman"/>
          <w:sz w:val="24"/>
          <w:szCs w:val="24"/>
        </w:rPr>
      </w:pPr>
    </w:p>
    <w:p w:rsidR="00581073" w:rsidRDefault="00581073" w:rsidP="00EA294C">
      <w:pPr>
        <w:spacing w:after="100" w:afterAutospacing="1" w:line="240" w:lineRule="auto"/>
        <w:ind w:right="-493"/>
        <w:jc w:val="center"/>
        <w:rPr>
          <w:rFonts w:ascii="Times New Roman" w:hAnsi="Times New Roman" w:cs="Times New Roman"/>
          <w:sz w:val="24"/>
          <w:szCs w:val="24"/>
        </w:rPr>
      </w:pPr>
    </w:p>
    <w:p w:rsidR="00581073" w:rsidRDefault="00581073" w:rsidP="00EA294C">
      <w:pPr>
        <w:spacing w:after="100" w:afterAutospacing="1" w:line="240" w:lineRule="auto"/>
        <w:ind w:right="-493"/>
        <w:jc w:val="center"/>
        <w:rPr>
          <w:rFonts w:ascii="Times New Roman" w:hAnsi="Times New Roman" w:cs="Times New Roman"/>
          <w:sz w:val="24"/>
          <w:szCs w:val="24"/>
        </w:rPr>
      </w:pPr>
    </w:p>
    <w:p w:rsidR="00581073" w:rsidRDefault="00581073" w:rsidP="00EA294C">
      <w:pPr>
        <w:spacing w:after="100" w:afterAutospacing="1" w:line="240" w:lineRule="auto"/>
        <w:ind w:right="-493"/>
        <w:jc w:val="center"/>
        <w:rPr>
          <w:rFonts w:ascii="Times New Roman" w:hAnsi="Times New Roman" w:cs="Times New Roman"/>
          <w:sz w:val="24"/>
          <w:szCs w:val="24"/>
        </w:rPr>
      </w:pPr>
    </w:p>
    <w:p w:rsidR="00581073" w:rsidRDefault="00581073" w:rsidP="00EA294C">
      <w:pPr>
        <w:spacing w:after="100" w:afterAutospacing="1" w:line="240" w:lineRule="auto"/>
        <w:ind w:right="-493"/>
        <w:jc w:val="center"/>
        <w:rPr>
          <w:rFonts w:ascii="Times New Roman" w:hAnsi="Times New Roman" w:cs="Times New Roman"/>
          <w:sz w:val="24"/>
          <w:szCs w:val="24"/>
        </w:rPr>
      </w:pPr>
    </w:p>
    <w:p w:rsidR="00581073" w:rsidRDefault="00581073" w:rsidP="00EA294C">
      <w:pPr>
        <w:spacing w:after="100" w:afterAutospacing="1" w:line="240" w:lineRule="auto"/>
        <w:ind w:right="-493"/>
        <w:jc w:val="center"/>
        <w:rPr>
          <w:rFonts w:ascii="Times New Roman" w:hAnsi="Times New Roman" w:cs="Times New Roman"/>
          <w:sz w:val="24"/>
          <w:szCs w:val="24"/>
        </w:rPr>
      </w:pPr>
    </w:p>
    <w:p w:rsidR="00581073" w:rsidRDefault="00581073" w:rsidP="00EA294C">
      <w:pPr>
        <w:spacing w:after="100" w:afterAutospacing="1" w:line="240" w:lineRule="auto"/>
        <w:ind w:right="-493"/>
        <w:jc w:val="center"/>
        <w:rPr>
          <w:rFonts w:ascii="Times New Roman" w:hAnsi="Times New Roman" w:cs="Times New Roman"/>
          <w:sz w:val="24"/>
          <w:szCs w:val="24"/>
        </w:rPr>
      </w:pPr>
    </w:p>
    <w:p w:rsidR="00EA294C" w:rsidRPr="00EA294C" w:rsidRDefault="00EA294C" w:rsidP="00EA294C">
      <w:pPr>
        <w:spacing w:after="100" w:afterAutospacing="1" w:line="240" w:lineRule="auto"/>
        <w:ind w:right="-493"/>
        <w:jc w:val="center"/>
        <w:rPr>
          <w:rFonts w:ascii="Times New Roman" w:hAnsi="Times New Roman" w:cs="Times New Roman"/>
          <w:sz w:val="24"/>
          <w:szCs w:val="24"/>
        </w:rPr>
      </w:pPr>
      <w:r w:rsidRPr="00EA294C">
        <w:rPr>
          <w:rFonts w:ascii="Times New Roman" w:hAnsi="Times New Roman" w:cs="Times New Roman"/>
          <w:sz w:val="24"/>
          <w:szCs w:val="24"/>
        </w:rPr>
        <w:t>FUNDAMENTOS</w:t>
      </w:r>
    </w:p>
    <w:p w:rsidR="00EA294C" w:rsidRPr="00EA294C" w:rsidRDefault="00EA294C" w:rsidP="00EA294C">
      <w:pPr>
        <w:spacing w:after="100" w:afterAutospacing="1" w:line="240" w:lineRule="auto"/>
        <w:ind w:right="-493"/>
        <w:rPr>
          <w:rFonts w:ascii="Times New Roman" w:hAnsi="Times New Roman" w:cs="Times New Roman"/>
          <w:sz w:val="24"/>
          <w:szCs w:val="24"/>
        </w:rPr>
      </w:pPr>
    </w:p>
    <w:p w:rsidR="00EA294C" w:rsidRPr="00EA294C" w:rsidRDefault="00EA294C" w:rsidP="00EA294C">
      <w:pPr>
        <w:spacing w:after="100" w:afterAutospacing="1" w:line="240" w:lineRule="auto"/>
        <w:ind w:right="-493"/>
        <w:jc w:val="both"/>
        <w:rPr>
          <w:rFonts w:ascii="Times New Roman" w:hAnsi="Times New Roman" w:cs="Times New Roman"/>
          <w:sz w:val="24"/>
          <w:szCs w:val="24"/>
        </w:rPr>
      </w:pPr>
      <w:r w:rsidRPr="00EA294C">
        <w:rPr>
          <w:rFonts w:ascii="Times New Roman" w:hAnsi="Times New Roman" w:cs="Times New Roman"/>
          <w:sz w:val="24"/>
          <w:szCs w:val="24"/>
        </w:rPr>
        <w:t xml:space="preserve">Señor Presidente, </w:t>
      </w:r>
    </w:p>
    <w:p w:rsidR="00EA294C" w:rsidRPr="00EA294C" w:rsidRDefault="00EA294C" w:rsidP="00EA294C">
      <w:pPr>
        <w:spacing w:after="100" w:afterAutospacing="1" w:line="240" w:lineRule="auto"/>
        <w:ind w:right="-493" w:firstLine="1695"/>
        <w:jc w:val="both"/>
        <w:rPr>
          <w:rFonts w:ascii="Times New Roman" w:hAnsi="Times New Roman" w:cs="Times New Roman"/>
          <w:sz w:val="24"/>
          <w:szCs w:val="24"/>
        </w:rPr>
      </w:pPr>
      <w:r w:rsidRPr="00EA294C">
        <w:rPr>
          <w:rFonts w:ascii="Times New Roman" w:hAnsi="Times New Roman" w:cs="Times New Roman"/>
          <w:sz w:val="24"/>
          <w:szCs w:val="24"/>
        </w:rPr>
        <w:t>El presente proyecto, de modificación de la Ley N° 9890, que establece el Sistema Educativo Provincial, busca incorporar dentro de los contenidos transversales de los lineamientos curriculares de cada nivel educativo obligatorio,la  educación y prevención sobre las adicciones y el consumo indebido de drogas.</w:t>
      </w:r>
    </w:p>
    <w:p w:rsidR="00EA294C" w:rsidRPr="00EA294C" w:rsidRDefault="00EA294C" w:rsidP="00EA294C">
      <w:pPr>
        <w:spacing w:after="100" w:afterAutospacing="1" w:line="240" w:lineRule="auto"/>
        <w:ind w:right="-493" w:firstLine="1695"/>
        <w:jc w:val="both"/>
        <w:rPr>
          <w:rFonts w:ascii="Times New Roman" w:hAnsi="Times New Roman" w:cs="Times New Roman"/>
          <w:sz w:val="24"/>
          <w:szCs w:val="24"/>
        </w:rPr>
      </w:pPr>
      <w:r w:rsidRPr="00EA294C">
        <w:rPr>
          <w:rFonts w:ascii="Times New Roman" w:hAnsi="Times New Roman" w:cs="Times New Roman"/>
          <w:sz w:val="24"/>
          <w:szCs w:val="24"/>
        </w:rPr>
        <w:t>Antes de considerar los aspectos particulares que justifican la incorporación de la Educación y Prevención sobre las adicciones y el consumo indebido de drogas como un contenido transversal, cabe realizar una consideración sobre la viabilidad jurídica de tal incorporación, tal como se fundamentó otrora, en oportunidad de fundamentar la incorporación de la educación  vial como contenido transversal. En este sentido, se recuerda que la Constitución de nuestra provincia, establece en su artículo 263 que la organización y dirección técnica y administrativa de la enseñanza común, corresponde a un Consejo General de Educación, autónomo en sus funciones. De esta manera, puede afirmarse que la definición y organización de los contenidos curriculares es competencia exclusiva del Consejo de Educación. Por otro lado, la Constitución provincial también define los lineamientos transversales que la educación obligatoria debe contemplar, así, el artículo 260 establece que “</w:t>
      </w:r>
      <w:r w:rsidRPr="00EA294C">
        <w:rPr>
          <w:rFonts w:ascii="Times New Roman" w:hAnsi="Times New Roman" w:cs="Times New Roman"/>
          <w:i/>
          <w:sz w:val="24"/>
          <w:szCs w:val="24"/>
        </w:rPr>
        <w:t>los lineamientos curriculares para cada nivel educativo obligatorio, integrarán, de manera transversal, educación con: cultura, derechos humanos, culturas ancestrales, cooperativismo y mutualismo, educación sexual, para la paz y para la no violencia, trabajo, ciencia y tecnología (...)</w:t>
      </w:r>
      <w:r w:rsidRPr="00EA294C">
        <w:rPr>
          <w:rFonts w:ascii="Times New Roman" w:hAnsi="Times New Roman" w:cs="Times New Roman"/>
          <w:sz w:val="24"/>
          <w:szCs w:val="24"/>
        </w:rPr>
        <w:t xml:space="preserve">” </w:t>
      </w:r>
    </w:p>
    <w:p w:rsidR="00EA294C" w:rsidRPr="00EA294C" w:rsidRDefault="00EA294C" w:rsidP="00EA294C">
      <w:pPr>
        <w:spacing w:after="100" w:afterAutospacing="1" w:line="240" w:lineRule="auto"/>
        <w:ind w:right="-493" w:firstLine="1695"/>
        <w:jc w:val="both"/>
        <w:rPr>
          <w:rFonts w:ascii="Times New Roman" w:hAnsi="Times New Roman" w:cs="Times New Roman"/>
          <w:sz w:val="24"/>
          <w:szCs w:val="24"/>
        </w:rPr>
      </w:pPr>
      <w:r w:rsidRPr="00EA294C">
        <w:rPr>
          <w:rFonts w:ascii="Times New Roman" w:hAnsi="Times New Roman" w:cs="Times New Roman"/>
          <w:sz w:val="24"/>
          <w:szCs w:val="24"/>
        </w:rPr>
        <w:t>Prosiguiendo con el análisis normativo, la Ley 9890, en su artìculo 165, confirma la competencia del Consejo General de Educación para “</w:t>
      </w:r>
      <w:r w:rsidRPr="00EA294C">
        <w:rPr>
          <w:rFonts w:ascii="Times New Roman" w:hAnsi="Times New Roman" w:cs="Times New Roman"/>
          <w:i/>
          <w:sz w:val="24"/>
          <w:szCs w:val="24"/>
        </w:rPr>
        <w:t>aprobar los Diseños y Lineamientos Curriculares para los distintos niveles y modalidades del sistema educativo (...)</w:t>
      </w:r>
      <w:r w:rsidRPr="00EA294C">
        <w:rPr>
          <w:rFonts w:ascii="Times New Roman" w:hAnsi="Times New Roman" w:cs="Times New Roman"/>
          <w:sz w:val="24"/>
          <w:szCs w:val="24"/>
        </w:rPr>
        <w:t>” y en el caso de los contenidos transversales, la mencionada ley, en su artículo 11º, complementa el mandato constitucional provincial del artículo 260, incorporando como contenidos transversales “patrimonio tangible e intangible” y “resolución pacífica de conflictos”. En este sentido, resulta factible la incorporación de la educación y prevención sobre las adicciones y el consumo indebido de drogas como un nuevo contenido transversal, sin alterar las competencias específicas del Consejo General de Educación, y otorgando al mismo plena libertad para definir estratégicamente la aplicación de los contenidos transversales.</w:t>
      </w:r>
    </w:p>
    <w:p w:rsidR="00EA294C" w:rsidRPr="00EA294C" w:rsidRDefault="00EA294C" w:rsidP="00EA294C">
      <w:pPr>
        <w:spacing w:after="100" w:afterAutospacing="1" w:line="240" w:lineRule="auto"/>
        <w:ind w:right="-493" w:firstLine="1695"/>
        <w:jc w:val="both"/>
        <w:rPr>
          <w:rFonts w:ascii="Times New Roman" w:hAnsi="Times New Roman" w:cs="Times New Roman"/>
          <w:sz w:val="24"/>
          <w:szCs w:val="24"/>
        </w:rPr>
      </w:pPr>
      <w:r w:rsidRPr="00EA294C">
        <w:rPr>
          <w:rFonts w:ascii="Times New Roman" w:hAnsi="Times New Roman" w:cs="Times New Roman"/>
          <w:sz w:val="24"/>
          <w:szCs w:val="24"/>
        </w:rPr>
        <w:t>Como complemento a estas consideraciones jurídicas sobre el tema, cabe realizar una referencia sobre la importancia de la incorporación de la educación y prevención sobre las adicciones y el consumo indebido de drogas como un contenido transversal de la educación obligatoria.</w:t>
      </w:r>
    </w:p>
    <w:p w:rsidR="00EA294C" w:rsidRPr="00EA294C" w:rsidRDefault="00EA294C" w:rsidP="00EA294C">
      <w:pPr>
        <w:spacing w:after="100" w:afterAutospacing="1" w:line="240" w:lineRule="auto"/>
        <w:ind w:right="-493" w:firstLine="1695"/>
        <w:jc w:val="both"/>
        <w:rPr>
          <w:rFonts w:ascii="Times New Roman" w:hAnsi="Times New Roman" w:cs="Times New Roman"/>
          <w:sz w:val="24"/>
          <w:szCs w:val="24"/>
        </w:rPr>
      </w:pPr>
      <w:r w:rsidRPr="00EA294C">
        <w:rPr>
          <w:rFonts w:ascii="Times New Roman" w:hAnsi="Times New Roman" w:cs="Times New Roman"/>
          <w:sz w:val="24"/>
          <w:szCs w:val="24"/>
        </w:rPr>
        <w:t>En primer lugar, es preciso referir a la existencia de una Secretaría de Lucha Contra las Adicciones, creada por Decreto 5646/2008, a través de la cual, la Provincia de Entre Rïos comenzó a ejecutar desde el año 2008 acciones para enfrentar el uso indebido de las drogas y las adicciones a través de un abordaje integral y equilibrado en materia de prevención y asistencia. Si bien es destacable su tarea a lo largo de estos años, es deseable implementar un mecanismo en el Sistema Educativo Provincial que garantice el abordaje transversal de la temática, en todos los niveles y conjuntos de materias curriculares.</w:t>
      </w:r>
    </w:p>
    <w:p w:rsidR="00EA294C" w:rsidRPr="00EA294C" w:rsidRDefault="00EA294C" w:rsidP="00EA294C">
      <w:pPr>
        <w:spacing w:after="100" w:afterAutospacing="1" w:line="240" w:lineRule="auto"/>
        <w:ind w:right="-493" w:firstLine="1695"/>
        <w:jc w:val="both"/>
        <w:rPr>
          <w:rFonts w:ascii="Times New Roman" w:hAnsi="Times New Roman" w:cs="Times New Roman"/>
          <w:sz w:val="24"/>
          <w:szCs w:val="24"/>
        </w:rPr>
      </w:pPr>
      <w:r w:rsidRPr="00EA294C">
        <w:rPr>
          <w:rFonts w:ascii="Times New Roman" w:hAnsi="Times New Roman" w:cs="Times New Roman"/>
          <w:sz w:val="24"/>
          <w:szCs w:val="24"/>
        </w:rPr>
        <w:t>Por otro lado, la Ley nacional nº 26.586 creó el Programa Nacional de Educación y Prevención sobre las Adicciones y el Consumo Indebido de Drogas, con el objetivo de orientar las prácticas educativas para trabajar en la educación y prevención sobre las adicciones y el consumo indebido de drogas, en todas las modalidades y niveles del Sistema Educativo Nacional; y además estableció en su texto, la responsabilidad del Ministerio de Educación para proponer dentro del Consejo Federal de Educación lineamientos curriculares mínimos en materia de educación y prevención de las adicciones y el consumo indebido de drogas, que fueron recogidos en algunos niveles del Sistema Educativo entrerriano, aunque no en con un tratamiento transversal.</w:t>
      </w:r>
    </w:p>
    <w:p w:rsidR="00EA294C" w:rsidRPr="00EA294C" w:rsidRDefault="00EA294C" w:rsidP="00EA294C">
      <w:pPr>
        <w:spacing w:after="100" w:afterAutospacing="1" w:line="240" w:lineRule="auto"/>
        <w:ind w:right="-493" w:firstLine="1695"/>
        <w:jc w:val="both"/>
        <w:rPr>
          <w:rFonts w:ascii="Times New Roman" w:hAnsi="Times New Roman" w:cs="Times New Roman"/>
          <w:sz w:val="24"/>
          <w:szCs w:val="24"/>
        </w:rPr>
      </w:pPr>
      <w:r w:rsidRPr="00EA294C">
        <w:rPr>
          <w:rFonts w:ascii="Times New Roman" w:hAnsi="Times New Roman" w:cs="Times New Roman"/>
          <w:sz w:val="24"/>
          <w:szCs w:val="24"/>
        </w:rPr>
        <w:t xml:space="preserve">Tomando como referencia una experiencia internacional, en Colombia, desde el año 1996, la  Dirección de Antinarcóticos de la Policía Nacional, desarrolla en instituciones escolares colombianas un programa de capacitación orientado a la prevención del consumo de sustancias psicoactivas. Los resultados positivos que arrojó la evaluación de los indicadores del Programa y con el objeto de optimizar el mismo, en el año 2015, se inicia un trabajo articulado entre el Ministerio de Educación y la Policía Nacional, ampliando las esferas del programa a cuestiones vinculadas con la convivencia escolar y la promoción de hábitos saludables entre los jóvenes. Como resultado de esta fusión, se incrementó el impacto de los resultados inicialmente obtenidos. </w:t>
      </w:r>
    </w:p>
    <w:p w:rsidR="00EA294C" w:rsidRPr="00EA294C" w:rsidRDefault="00EA294C" w:rsidP="00EA294C">
      <w:pPr>
        <w:spacing w:after="100" w:afterAutospacing="1" w:line="240" w:lineRule="auto"/>
        <w:ind w:right="-493" w:firstLine="1695"/>
        <w:jc w:val="both"/>
        <w:rPr>
          <w:rFonts w:ascii="Times New Roman" w:hAnsi="Times New Roman" w:cs="Times New Roman"/>
          <w:sz w:val="24"/>
          <w:szCs w:val="24"/>
        </w:rPr>
      </w:pPr>
      <w:r w:rsidRPr="00EA294C">
        <w:rPr>
          <w:rFonts w:ascii="Times New Roman" w:hAnsi="Times New Roman" w:cs="Times New Roman"/>
          <w:sz w:val="24"/>
          <w:szCs w:val="24"/>
        </w:rPr>
        <w:t>Esta experiencia de articulación de la temática que pone como centro la prevención sobre las adicciones y el consumo indebido de drogas entre los jóvenes, constituye un antecedente a la hora de considerar estrategias de intervención sobre el tema para la provincia de Entre Ríos, que se orienten a discutir transversalmente estas temáticas en las instituciones escolares de nuestro territorio.</w:t>
      </w:r>
    </w:p>
    <w:p w:rsidR="00EA294C" w:rsidRPr="00EA294C" w:rsidRDefault="00EA294C" w:rsidP="00EA294C">
      <w:pPr>
        <w:spacing w:after="100" w:afterAutospacing="1" w:line="240" w:lineRule="auto"/>
        <w:ind w:right="-493" w:firstLine="1695"/>
        <w:jc w:val="both"/>
        <w:rPr>
          <w:rFonts w:ascii="Times New Roman" w:hAnsi="Times New Roman" w:cs="Times New Roman"/>
          <w:sz w:val="24"/>
          <w:szCs w:val="24"/>
        </w:rPr>
      </w:pPr>
      <w:r w:rsidRPr="00EA294C">
        <w:rPr>
          <w:rFonts w:ascii="Times New Roman" w:hAnsi="Times New Roman" w:cs="Times New Roman"/>
          <w:sz w:val="24"/>
          <w:szCs w:val="24"/>
        </w:rPr>
        <w:t xml:space="preserve">  En este sentido, la lógica con la que han sido pensados los contenidos transversales en los diseños curriculares de la provincia de Entre Ríos, manifiesta la importancia que se les atribuye a los mismos, ya que se entiende a la transversalidad educativa como una manera de generar aprendizajes significativos en los estudiantes desde la conexión de los conocimientos disciplinares con los temas y contextos sociales presentes en su entorno. A su vez, en los diseños curriculares de la educación secundaria de Entre Ríos (Res. 3322/2010), se contempla como contenido transversal la prevención de conductas adictivas, siendo este un importante antecedente que justifica también la incorporación de la temática como contenido transversal en todos los niveles y modalidades del Sistema Educativo entrerriano.</w:t>
      </w:r>
    </w:p>
    <w:p w:rsidR="00EA294C" w:rsidRPr="00EA294C" w:rsidRDefault="00EA294C" w:rsidP="00EA294C">
      <w:pPr>
        <w:spacing w:after="100" w:afterAutospacing="1" w:line="240" w:lineRule="auto"/>
        <w:ind w:right="-493" w:firstLine="1695"/>
        <w:jc w:val="both"/>
        <w:rPr>
          <w:rFonts w:ascii="Times New Roman" w:hAnsi="Times New Roman" w:cs="Times New Roman"/>
          <w:sz w:val="24"/>
          <w:szCs w:val="24"/>
        </w:rPr>
      </w:pPr>
      <w:r w:rsidRPr="00EA294C">
        <w:rPr>
          <w:rFonts w:ascii="Times New Roman" w:hAnsi="Times New Roman" w:cs="Times New Roman"/>
          <w:sz w:val="24"/>
          <w:szCs w:val="24"/>
        </w:rPr>
        <w:t>En función de lo expuesto, solicito a los señores legisladores acompañen con su voto favorable el presente proyecto de Ley.</w:t>
      </w:r>
    </w:p>
    <w:p w:rsidR="00EA294C" w:rsidRPr="00EA294C" w:rsidRDefault="00EA294C" w:rsidP="00EA294C">
      <w:pPr>
        <w:spacing w:after="100" w:afterAutospacing="1" w:line="240" w:lineRule="auto"/>
        <w:ind w:right="-493"/>
        <w:rPr>
          <w:rFonts w:ascii="Times New Roman" w:hAnsi="Times New Roman" w:cs="Times New Roman"/>
          <w:sz w:val="24"/>
          <w:szCs w:val="24"/>
        </w:rPr>
      </w:pPr>
    </w:p>
    <w:sectPr w:rsidR="00EA294C" w:rsidRPr="00EA294C" w:rsidSect="00EA294C">
      <w:pgSz w:w="11906" w:h="16838"/>
      <w:pgMar w:top="269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15F8E"/>
    <w:multiLevelType w:val="multilevel"/>
    <w:tmpl w:val="2E98FDCE"/>
    <w:lvl w:ilvl="0">
      <w:start w:val="1"/>
      <w:numFmt w:val="decimal"/>
      <w:lvlText w:val="Artículo %1°."/>
      <w:lvlJc w:val="left"/>
      <w:pPr>
        <w:ind w:left="720" w:hanging="360"/>
      </w:pPr>
      <w:rPr>
        <w:b/>
        <w:u w:val="none"/>
      </w:rPr>
    </w:lvl>
    <w:lvl w:ilvl="1">
      <w:start w:val="1"/>
      <w:numFmt w:val="lowerLetter"/>
      <w:lvlText w:val="%2."/>
      <w:lvlJc w:val="left"/>
      <w:pPr>
        <w:ind w:left="1440" w:hanging="360"/>
      </w:pPr>
      <w:rPr>
        <w:b/>
        <w:u w:val="none"/>
      </w:rPr>
    </w:lvl>
    <w:lvl w:ilvl="2">
      <w:start w:val="1"/>
      <w:numFmt w:val="lowerRoman"/>
      <w:lvlText w:val="Artículo %3."/>
      <w:lvlJc w:val="right"/>
      <w:pPr>
        <w:ind w:left="2160" w:hanging="360"/>
      </w:pPr>
      <w:rPr>
        <w:u w:val="none"/>
      </w:rPr>
    </w:lvl>
    <w:lvl w:ilvl="3">
      <w:start w:val="1"/>
      <w:numFmt w:val="decimal"/>
      <w:lvlText w:val="Artículo %4."/>
      <w:lvlJc w:val="left"/>
      <w:pPr>
        <w:ind w:left="2880" w:hanging="360"/>
      </w:pPr>
      <w:rPr>
        <w:u w:val="none"/>
      </w:rPr>
    </w:lvl>
    <w:lvl w:ilvl="4">
      <w:start w:val="1"/>
      <w:numFmt w:val="lowerLetter"/>
      <w:lvlText w:val="Artículo %5."/>
      <w:lvlJc w:val="left"/>
      <w:pPr>
        <w:ind w:left="3600" w:hanging="360"/>
      </w:pPr>
      <w:rPr>
        <w:u w:val="none"/>
      </w:rPr>
    </w:lvl>
    <w:lvl w:ilvl="5">
      <w:start w:val="1"/>
      <w:numFmt w:val="lowerRoman"/>
      <w:lvlText w:val="Artículo %6."/>
      <w:lvlJc w:val="right"/>
      <w:pPr>
        <w:ind w:left="4320" w:hanging="360"/>
      </w:pPr>
      <w:rPr>
        <w:u w:val="none"/>
      </w:rPr>
    </w:lvl>
    <w:lvl w:ilvl="6">
      <w:start w:val="1"/>
      <w:numFmt w:val="decimal"/>
      <w:lvlText w:val="Artículo %7."/>
      <w:lvlJc w:val="left"/>
      <w:pPr>
        <w:ind w:left="5040" w:hanging="360"/>
      </w:pPr>
      <w:rPr>
        <w:u w:val="none"/>
      </w:rPr>
    </w:lvl>
    <w:lvl w:ilvl="7">
      <w:start w:val="1"/>
      <w:numFmt w:val="lowerLetter"/>
      <w:lvlText w:val="Artículo %8."/>
      <w:lvlJc w:val="left"/>
      <w:pPr>
        <w:ind w:left="5760" w:hanging="360"/>
      </w:pPr>
      <w:rPr>
        <w:u w:val="none"/>
      </w:rPr>
    </w:lvl>
    <w:lvl w:ilvl="8">
      <w:start w:val="1"/>
      <w:numFmt w:val="lowerRoman"/>
      <w:lvlText w:val="Artículo %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94C"/>
    <w:rsid w:val="00101C09"/>
    <w:rsid w:val="00581073"/>
    <w:rsid w:val="007153FE"/>
    <w:rsid w:val="00792348"/>
    <w:rsid w:val="00C20D4F"/>
    <w:rsid w:val="00EA294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4D6369-F78F-497A-87A7-709A3B874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A294C"/>
    <w:pPr>
      <w:pBdr>
        <w:top w:val="nil"/>
        <w:left w:val="nil"/>
        <w:bottom w:val="nil"/>
        <w:right w:val="nil"/>
        <w:between w:val="nil"/>
      </w:pBdr>
      <w:spacing w:line="276" w:lineRule="auto"/>
    </w:pPr>
    <w:rPr>
      <w:rFonts w:ascii="Arial" w:eastAsia="Arial" w:hAnsi="Arial" w:cs="Arial"/>
      <w:color w:val="000000"/>
      <w:sz w:val="22"/>
      <w:szCs w:val="22"/>
      <w:lang w:va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1175</Words>
  <Characters>6464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cp:lastModifiedBy>Romina</cp:lastModifiedBy>
  <cp:revision>2</cp:revision>
  <dcterms:created xsi:type="dcterms:W3CDTF">2018-11-14T13:22:00Z</dcterms:created>
  <dcterms:modified xsi:type="dcterms:W3CDTF">2018-11-14T13:22:00Z</dcterms:modified>
</cp:coreProperties>
</file>