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0F23" w:rsidRDefault="00B40F23">
      <w:pPr>
        <w:pStyle w:val="Normal1"/>
        <w:shd w:val="clear" w:color="auto" w:fill="FFFFFF"/>
        <w:spacing w:before="240" w:after="0" w:line="360" w:lineRule="auto"/>
        <w:jc w:val="both"/>
        <w:rPr>
          <w:rFonts w:ascii="Arial" w:hAnsi="Arial" w:cs="Arial"/>
          <w:color w:val="000000"/>
          <w:sz w:val="24"/>
          <w:szCs w:val="24"/>
        </w:rPr>
      </w:pPr>
      <w:bookmarkStart w:id="0" w:name="_GoBack"/>
      <w:bookmarkEnd w:id="0"/>
      <w:r>
        <w:rPr>
          <w:rFonts w:ascii="Arial" w:hAnsi="Arial" w:cs="Arial"/>
          <w:b/>
          <w:color w:val="000000"/>
          <w:sz w:val="24"/>
          <w:szCs w:val="24"/>
        </w:rPr>
        <w:t>HONORABLE SENADO</w:t>
      </w:r>
      <w:r>
        <w:rPr>
          <w:rFonts w:ascii="Arial" w:hAnsi="Arial" w:cs="Arial"/>
          <w:color w:val="000000"/>
          <w:sz w:val="24"/>
          <w:szCs w:val="24"/>
        </w:rPr>
        <w:t>:  </w:t>
      </w:r>
    </w:p>
    <w:p w:rsidR="00B40F23" w:rsidRDefault="00B40F23">
      <w:pPr>
        <w:pStyle w:val="Normal1"/>
        <w:shd w:val="clear" w:color="auto" w:fill="FFFFFF"/>
        <w:spacing w:before="240" w:after="0" w:line="360" w:lineRule="auto"/>
        <w:ind w:firstLine="2835"/>
        <w:jc w:val="both"/>
        <w:rPr>
          <w:rFonts w:ascii="Arial" w:hAnsi="Arial" w:cs="Arial"/>
          <w:color w:val="000000"/>
          <w:sz w:val="24"/>
          <w:szCs w:val="24"/>
        </w:rPr>
      </w:pPr>
      <w:r>
        <w:rPr>
          <w:rFonts w:ascii="Arial" w:hAnsi="Arial" w:cs="Arial"/>
          <w:color w:val="000000"/>
          <w:sz w:val="24"/>
          <w:szCs w:val="24"/>
        </w:rPr>
        <w:t xml:space="preserve">El </w:t>
      </w:r>
      <w:r>
        <w:rPr>
          <w:rFonts w:ascii="Arial" w:hAnsi="Arial" w:cs="Arial"/>
          <w:b/>
          <w:color w:val="000000"/>
          <w:sz w:val="24"/>
          <w:szCs w:val="24"/>
        </w:rPr>
        <w:t>Dr. Ignacio Boris Nicolás TELENTA</w:t>
      </w:r>
      <w:r>
        <w:rPr>
          <w:rFonts w:ascii="Arial" w:hAnsi="Arial" w:cs="Arial"/>
          <w:color w:val="000000"/>
          <w:sz w:val="24"/>
          <w:szCs w:val="24"/>
        </w:rPr>
        <w:t>, ha sido propuesto por el Poder Ejecutivo Provincial para ser nombrado</w:t>
      </w:r>
      <w:r>
        <w:rPr>
          <w:rFonts w:ascii="Arial" w:hAnsi="Arial" w:cs="Arial"/>
          <w:color w:val="000000"/>
          <w:sz w:val="24"/>
          <w:szCs w:val="24"/>
          <w:highlight w:val="white"/>
        </w:rPr>
        <w:t> </w:t>
      </w:r>
      <w:r>
        <w:rPr>
          <w:rFonts w:ascii="Arial" w:hAnsi="Arial" w:cs="Arial"/>
          <w:color w:val="000000"/>
          <w:sz w:val="24"/>
          <w:szCs w:val="24"/>
        </w:rPr>
        <w:t>Juez del Juzgado de Garantías de Gualeguaychú, por lo que ingresa a este Senado el pedido de Acuerdo para tal designación.</w:t>
      </w:r>
    </w:p>
    <w:p w:rsidR="00B40F23" w:rsidRDefault="00B40F23">
      <w:pPr>
        <w:pStyle w:val="Normal1"/>
        <w:shd w:val="clear" w:color="auto" w:fill="FFFFFF"/>
        <w:spacing w:before="240" w:after="0" w:line="360" w:lineRule="auto"/>
        <w:ind w:firstLine="2835"/>
        <w:jc w:val="both"/>
        <w:rPr>
          <w:rFonts w:ascii="Arial" w:hAnsi="Arial" w:cs="Arial"/>
          <w:color w:val="000000"/>
          <w:sz w:val="24"/>
          <w:szCs w:val="24"/>
        </w:rPr>
      </w:pPr>
      <w:r>
        <w:rPr>
          <w:rFonts w:ascii="Arial" w:hAnsi="Arial" w:cs="Arial"/>
          <w:color w:val="000000"/>
          <w:sz w:val="24"/>
          <w:szCs w:val="24"/>
        </w:rPr>
        <w:t xml:space="preserve">Luego de haberse evaluado los antecedentes personales y curriculares del </w:t>
      </w:r>
      <w:r>
        <w:rPr>
          <w:rFonts w:ascii="Arial" w:hAnsi="Arial" w:cs="Arial"/>
          <w:b/>
          <w:color w:val="000000"/>
          <w:sz w:val="24"/>
          <w:szCs w:val="24"/>
        </w:rPr>
        <w:t xml:space="preserve">Dr. TELENTA, </w:t>
      </w:r>
      <w:r>
        <w:rPr>
          <w:rFonts w:ascii="Arial" w:hAnsi="Arial" w:cs="Arial"/>
          <w:color w:val="000000"/>
          <w:sz w:val="24"/>
          <w:szCs w:val="24"/>
        </w:rPr>
        <w:t xml:space="preserve">esta Comisión, mediante resolución fundada de su Presidente, de fecha 16 de mayo de 2018, dio por cumplimentados los incisos a), b), y c) del artículo 19º del Reglamento de la Honorable Cámara de Senadores y estableció fecha para la Audiencia Pública, facultando a la Secretaría de Cámara a realizar las comunicaciones pertinentes. </w:t>
      </w:r>
    </w:p>
    <w:p w:rsidR="00B40F23" w:rsidRDefault="00B40F23">
      <w:pPr>
        <w:pStyle w:val="Normal1"/>
        <w:shd w:val="clear" w:color="auto" w:fill="FFFFFF"/>
        <w:spacing w:before="240" w:after="0" w:line="360" w:lineRule="auto"/>
        <w:ind w:firstLine="2835"/>
        <w:jc w:val="both"/>
        <w:rPr>
          <w:rFonts w:ascii="Arial" w:hAnsi="Arial" w:cs="Arial"/>
          <w:color w:val="000000"/>
          <w:sz w:val="24"/>
          <w:szCs w:val="24"/>
        </w:rPr>
      </w:pPr>
      <w:r>
        <w:rPr>
          <w:rFonts w:ascii="Arial" w:hAnsi="Arial" w:cs="Arial"/>
          <w:color w:val="000000"/>
          <w:sz w:val="24"/>
          <w:szCs w:val="24"/>
        </w:rPr>
        <w:t xml:space="preserve">Con fecha 24 de mayo de 2018, </w:t>
      </w:r>
      <w:r w:rsidRPr="00EF65FA">
        <w:rPr>
          <w:rFonts w:ascii="Arial" w:hAnsi="Arial" w:cs="Arial"/>
          <w:b/>
          <w:color w:val="000000"/>
          <w:sz w:val="24"/>
          <w:szCs w:val="24"/>
        </w:rPr>
        <w:t>fuera del plazo reglamentario,</w:t>
      </w:r>
      <w:r>
        <w:rPr>
          <w:rFonts w:ascii="Arial" w:hAnsi="Arial" w:cs="Arial"/>
          <w:color w:val="000000"/>
          <w:sz w:val="24"/>
          <w:szCs w:val="24"/>
        </w:rPr>
        <w:t xml:space="preserve"> se realizaron presentaciones por los señores Gregorio Sebastián Erro, Luis Alberto Erro y Hugo Lesca manifestando haber sido avasallados en sus derechos por una investigación en la que oportunamente intervino el </w:t>
      </w:r>
      <w:r>
        <w:rPr>
          <w:rFonts w:ascii="Arial" w:hAnsi="Arial" w:cs="Arial"/>
          <w:b/>
          <w:color w:val="000000"/>
          <w:sz w:val="24"/>
          <w:szCs w:val="24"/>
        </w:rPr>
        <w:t xml:space="preserve">Dr. TELENTA </w:t>
      </w:r>
      <w:r>
        <w:rPr>
          <w:rFonts w:ascii="Arial" w:hAnsi="Arial" w:cs="Arial"/>
          <w:color w:val="000000"/>
          <w:sz w:val="24"/>
          <w:szCs w:val="24"/>
        </w:rPr>
        <w:t xml:space="preserve">quien ostentaba el cargo Fiscal Auxiliar de la ciudad de Gualeguay. Tales presentaciones no pueden ser consideradas observación u oposición en tanto y en cuanto no sólo que no fueron realizadas dentro del plazo previsto para ello, sino que además del petitorio de las mismas surge una </w:t>
      </w:r>
      <w:proofErr w:type="spellStart"/>
      <w:r>
        <w:rPr>
          <w:rFonts w:ascii="Arial" w:hAnsi="Arial" w:cs="Arial"/>
          <w:color w:val="000000"/>
          <w:sz w:val="24"/>
          <w:szCs w:val="24"/>
        </w:rPr>
        <w:t>pretención</w:t>
      </w:r>
      <w:proofErr w:type="spellEnd"/>
      <w:r>
        <w:rPr>
          <w:rFonts w:ascii="Arial" w:hAnsi="Arial" w:cs="Arial"/>
          <w:color w:val="000000"/>
          <w:sz w:val="24"/>
          <w:szCs w:val="24"/>
        </w:rPr>
        <w:t xml:space="preserve"> no prevista en el reglamento de este Cuerpo (hacer un informe in </w:t>
      </w:r>
      <w:proofErr w:type="spellStart"/>
      <w:r>
        <w:rPr>
          <w:rFonts w:ascii="Arial" w:hAnsi="Arial" w:cs="Arial"/>
          <w:color w:val="000000"/>
          <w:sz w:val="24"/>
          <w:szCs w:val="24"/>
        </w:rPr>
        <w:t>voce</w:t>
      </w:r>
      <w:proofErr w:type="spellEnd"/>
      <w:r>
        <w:rPr>
          <w:rFonts w:ascii="Arial" w:hAnsi="Arial" w:cs="Arial"/>
          <w:color w:val="000000"/>
          <w:sz w:val="24"/>
          <w:szCs w:val="24"/>
        </w:rPr>
        <w:t>).</w:t>
      </w:r>
    </w:p>
    <w:p w:rsidR="00B40F23" w:rsidRDefault="00B40F23">
      <w:pPr>
        <w:pStyle w:val="Normal1"/>
        <w:shd w:val="clear" w:color="auto" w:fill="FFFFFF"/>
        <w:spacing w:before="240" w:after="0" w:line="360" w:lineRule="auto"/>
        <w:ind w:firstLine="2835"/>
        <w:jc w:val="both"/>
        <w:rPr>
          <w:rFonts w:ascii="Arial" w:hAnsi="Arial" w:cs="Arial"/>
          <w:color w:val="000000"/>
          <w:sz w:val="24"/>
          <w:szCs w:val="24"/>
        </w:rPr>
      </w:pPr>
      <w:r>
        <w:rPr>
          <w:rFonts w:ascii="Arial" w:hAnsi="Arial" w:cs="Arial"/>
          <w:color w:val="000000"/>
          <w:sz w:val="24"/>
          <w:szCs w:val="24"/>
        </w:rPr>
        <w:t xml:space="preserve">Asimismo, corresponde agregar, que existieron adhesiones al acuerdo solicitado por el Poder Ejecutivo para que el Dr. </w:t>
      </w:r>
      <w:proofErr w:type="spellStart"/>
      <w:r>
        <w:rPr>
          <w:rFonts w:ascii="Arial" w:hAnsi="Arial" w:cs="Arial"/>
          <w:color w:val="000000"/>
          <w:sz w:val="24"/>
          <w:szCs w:val="24"/>
        </w:rPr>
        <w:t>Telenta</w:t>
      </w:r>
      <w:proofErr w:type="spellEnd"/>
      <w:r>
        <w:rPr>
          <w:rFonts w:ascii="Arial" w:hAnsi="Arial" w:cs="Arial"/>
          <w:color w:val="000000"/>
          <w:sz w:val="24"/>
          <w:szCs w:val="24"/>
        </w:rPr>
        <w:t xml:space="preserve"> fuera designado como Juez a cargo del Juzgado de </w:t>
      </w:r>
      <w:proofErr w:type="spellStart"/>
      <w:r>
        <w:rPr>
          <w:rFonts w:ascii="Arial" w:hAnsi="Arial" w:cs="Arial"/>
          <w:color w:val="000000"/>
          <w:sz w:val="24"/>
          <w:szCs w:val="24"/>
        </w:rPr>
        <w:t>Garantias</w:t>
      </w:r>
      <w:proofErr w:type="spellEnd"/>
      <w:r>
        <w:rPr>
          <w:rFonts w:ascii="Arial" w:hAnsi="Arial" w:cs="Arial"/>
          <w:color w:val="000000"/>
          <w:sz w:val="24"/>
          <w:szCs w:val="24"/>
        </w:rPr>
        <w:t xml:space="preserve"> de la ciudad de Gualeguaychú, las que si fueron formuladas en tiempo y forma.</w:t>
      </w:r>
    </w:p>
    <w:p w:rsidR="00B40F23" w:rsidRDefault="00B40F23">
      <w:pPr>
        <w:pStyle w:val="Normal1"/>
        <w:shd w:val="clear" w:color="auto" w:fill="FFFFFF"/>
        <w:spacing w:before="240" w:after="0" w:line="360" w:lineRule="auto"/>
        <w:ind w:firstLine="2835"/>
        <w:jc w:val="both"/>
        <w:rPr>
          <w:rFonts w:ascii="Arial" w:hAnsi="Arial" w:cs="Arial"/>
          <w:color w:val="000000"/>
          <w:sz w:val="24"/>
          <w:szCs w:val="24"/>
        </w:rPr>
      </w:pPr>
      <w:r>
        <w:rPr>
          <w:rFonts w:ascii="Arial" w:hAnsi="Arial" w:cs="Arial"/>
          <w:color w:val="000000"/>
          <w:sz w:val="24"/>
          <w:szCs w:val="24"/>
        </w:rPr>
        <w:t xml:space="preserve">Con fecha 29 de mayo, se realizó en el Recinto de la Honorable Cámara de Senadores, la Audiencia Pública que ordena el Artículo 19º del Reglamento. </w:t>
      </w:r>
    </w:p>
    <w:p w:rsidR="00B40F23" w:rsidRDefault="00B40F23">
      <w:pPr>
        <w:pStyle w:val="Normal1"/>
        <w:shd w:val="clear" w:color="auto" w:fill="FFFFFF"/>
        <w:spacing w:before="240" w:after="0" w:line="360" w:lineRule="auto"/>
        <w:ind w:firstLine="2835"/>
        <w:jc w:val="both"/>
        <w:rPr>
          <w:rFonts w:ascii="Arial" w:hAnsi="Arial" w:cs="Arial"/>
          <w:color w:val="000000"/>
          <w:sz w:val="24"/>
          <w:szCs w:val="24"/>
        </w:rPr>
      </w:pPr>
      <w:r>
        <w:rPr>
          <w:rFonts w:ascii="Arial" w:hAnsi="Arial" w:cs="Arial"/>
          <w:color w:val="000000"/>
          <w:sz w:val="24"/>
          <w:szCs w:val="24"/>
        </w:rPr>
        <w:lastRenderedPageBreak/>
        <w:t xml:space="preserve">Luego de la lectura del pedido de Acuerdo remitido por el Poder Ejecutivo y de los antecedentes personales y curriculares del </w:t>
      </w:r>
      <w:r>
        <w:rPr>
          <w:rFonts w:ascii="Arial" w:hAnsi="Arial" w:cs="Arial"/>
          <w:b/>
          <w:color w:val="000000"/>
          <w:sz w:val="24"/>
          <w:szCs w:val="24"/>
        </w:rPr>
        <w:t>Dr. TELENTA</w:t>
      </w:r>
      <w:r>
        <w:rPr>
          <w:rFonts w:ascii="Arial" w:hAnsi="Arial" w:cs="Arial"/>
          <w:color w:val="000000"/>
          <w:sz w:val="24"/>
          <w:szCs w:val="24"/>
        </w:rPr>
        <w:t>,</w:t>
      </w:r>
      <w:r>
        <w:rPr>
          <w:rFonts w:ascii="Arial" w:hAnsi="Arial" w:cs="Arial"/>
          <w:b/>
          <w:color w:val="000000"/>
          <w:sz w:val="24"/>
          <w:szCs w:val="24"/>
        </w:rPr>
        <w:t> </w:t>
      </w:r>
      <w:r>
        <w:rPr>
          <w:rFonts w:ascii="Arial" w:hAnsi="Arial" w:cs="Arial"/>
          <w:color w:val="000000"/>
          <w:sz w:val="24"/>
          <w:szCs w:val="24"/>
        </w:rPr>
        <w:t>se procedió a interrogar al mismo sobre sus planes de trabajo, motivaciones para el cargo, situación patrimonial y fiscal, experiencia personal, demás cuestiones que hacen al conocimiento del propuesto y por las presentaciones ciudadanas efectuadas.</w:t>
      </w:r>
    </w:p>
    <w:p w:rsidR="00B40F23" w:rsidRDefault="00B40F23">
      <w:pPr>
        <w:pStyle w:val="Normal1"/>
        <w:shd w:val="clear" w:color="auto" w:fill="FFFFFF"/>
        <w:spacing w:before="240" w:after="0" w:line="360" w:lineRule="auto"/>
        <w:ind w:firstLine="2835"/>
        <w:jc w:val="both"/>
        <w:rPr>
          <w:rFonts w:ascii="Arial" w:hAnsi="Arial" w:cs="Arial"/>
          <w:color w:val="000000"/>
          <w:sz w:val="24"/>
          <w:szCs w:val="24"/>
        </w:rPr>
      </w:pPr>
      <w:r>
        <w:rPr>
          <w:rFonts w:ascii="Arial" w:hAnsi="Arial" w:cs="Arial"/>
          <w:color w:val="000000"/>
          <w:sz w:val="24"/>
          <w:szCs w:val="24"/>
        </w:rPr>
        <w:t>Asimismo, y con el afán de tomar conocimiento sobre hechos que se habían tornado de conocimiento público se le preguntó acerca de su actuación en el caso “</w:t>
      </w:r>
      <w:proofErr w:type="spellStart"/>
      <w:r>
        <w:rPr>
          <w:rFonts w:ascii="Arial" w:hAnsi="Arial" w:cs="Arial"/>
          <w:color w:val="000000"/>
          <w:sz w:val="24"/>
          <w:szCs w:val="24"/>
        </w:rPr>
        <w:t>Benvenuto</w:t>
      </w:r>
      <w:proofErr w:type="spellEnd"/>
      <w:r>
        <w:rPr>
          <w:rFonts w:ascii="Arial" w:hAnsi="Arial" w:cs="Arial"/>
          <w:color w:val="000000"/>
          <w:sz w:val="24"/>
          <w:szCs w:val="24"/>
        </w:rPr>
        <w:t>”; las circunstancias por las que se habían solicitado una serie de allanamientos a distintos domicilios y las denuncias que en razón de ello se le habían hecho.</w:t>
      </w:r>
    </w:p>
    <w:p w:rsidR="00B40F23" w:rsidRDefault="00B40F23">
      <w:pPr>
        <w:pStyle w:val="Normal1"/>
        <w:shd w:val="clear" w:color="auto" w:fill="FFFFFF"/>
        <w:spacing w:before="240" w:after="0" w:line="360" w:lineRule="auto"/>
        <w:ind w:firstLine="2835"/>
        <w:jc w:val="both"/>
        <w:rPr>
          <w:rFonts w:ascii="Arial" w:hAnsi="Arial" w:cs="Arial"/>
          <w:color w:val="000000"/>
          <w:sz w:val="24"/>
          <w:szCs w:val="24"/>
        </w:rPr>
      </w:pPr>
      <w:r>
        <w:rPr>
          <w:rFonts w:ascii="Arial" w:hAnsi="Arial" w:cs="Arial"/>
          <w:color w:val="000000"/>
          <w:sz w:val="24"/>
          <w:szCs w:val="24"/>
        </w:rPr>
        <w:t xml:space="preserve">Ante ello, el </w:t>
      </w:r>
      <w:r>
        <w:rPr>
          <w:rFonts w:ascii="Arial" w:hAnsi="Arial" w:cs="Arial"/>
          <w:b/>
          <w:color w:val="000000"/>
          <w:sz w:val="24"/>
          <w:szCs w:val="24"/>
        </w:rPr>
        <w:t xml:space="preserve">Dr. TELENTA </w:t>
      </w:r>
      <w:r>
        <w:rPr>
          <w:rFonts w:ascii="Arial" w:hAnsi="Arial" w:cs="Arial"/>
          <w:color w:val="000000"/>
          <w:sz w:val="24"/>
          <w:szCs w:val="24"/>
        </w:rPr>
        <w:t>dio detalles de su actuación manifestando que: “</w:t>
      </w:r>
      <w:r>
        <w:rPr>
          <w:rFonts w:ascii="Arial" w:hAnsi="Arial" w:cs="Arial"/>
          <w:i/>
          <w:color w:val="000000"/>
          <w:sz w:val="24"/>
          <w:szCs w:val="24"/>
        </w:rPr>
        <w:t xml:space="preserve">Fui denunciado en la investigación por el caso </w:t>
      </w:r>
      <w:proofErr w:type="spellStart"/>
      <w:r>
        <w:rPr>
          <w:rFonts w:ascii="Arial" w:hAnsi="Arial" w:cs="Arial"/>
          <w:i/>
          <w:color w:val="000000"/>
          <w:sz w:val="24"/>
          <w:szCs w:val="24"/>
        </w:rPr>
        <w:t>Benvenuto</w:t>
      </w:r>
      <w:proofErr w:type="spellEnd"/>
      <w:r>
        <w:rPr>
          <w:rFonts w:ascii="Arial" w:hAnsi="Arial" w:cs="Arial"/>
          <w:i/>
          <w:color w:val="000000"/>
          <w:sz w:val="24"/>
          <w:szCs w:val="24"/>
        </w:rPr>
        <w:t xml:space="preserve"> por unas personas a las que yo interesé al Juez de Garantías en cuanto al allanamiento de sus moradas y de su establecimiento rural, en virtud de que entendían que el pedido había forzado a un error a la jueza, porque se había incluido un informe de entrecruzamientos de llamadas que la Policía de Entre Ríos, luego del pedido y de la resolución de la jueza, informó que dichos entrecruzamientos habían sido erróneos</w:t>
      </w:r>
      <w:r>
        <w:rPr>
          <w:rFonts w:ascii="Arial" w:hAnsi="Arial" w:cs="Arial"/>
          <w:color w:val="000000"/>
          <w:sz w:val="24"/>
          <w:szCs w:val="24"/>
        </w:rPr>
        <w:t>.” Asimismo, sostuvo que: “</w:t>
      </w:r>
      <w:r>
        <w:rPr>
          <w:rFonts w:ascii="Arial" w:hAnsi="Arial" w:cs="Arial"/>
          <w:i/>
          <w:color w:val="000000"/>
          <w:sz w:val="24"/>
          <w:szCs w:val="24"/>
        </w:rPr>
        <w:t xml:space="preserve">En ese momento yo no actuaba como fiscal. El que llevaba adelante la investigación penal preparatoria era el doctor </w:t>
      </w:r>
      <w:proofErr w:type="spellStart"/>
      <w:r>
        <w:rPr>
          <w:rFonts w:ascii="Arial" w:hAnsi="Arial" w:cs="Arial"/>
          <w:i/>
          <w:color w:val="000000"/>
          <w:sz w:val="24"/>
          <w:szCs w:val="24"/>
        </w:rPr>
        <w:t>Gianini</w:t>
      </w:r>
      <w:proofErr w:type="spellEnd"/>
      <w:r>
        <w:rPr>
          <w:rFonts w:ascii="Arial" w:hAnsi="Arial" w:cs="Arial"/>
          <w:i/>
          <w:color w:val="000000"/>
          <w:sz w:val="24"/>
          <w:szCs w:val="24"/>
        </w:rPr>
        <w:t xml:space="preserve">. Yo no estaba de turno cuando ocurrió la desaparición de Omar </w:t>
      </w:r>
      <w:proofErr w:type="spellStart"/>
      <w:r>
        <w:rPr>
          <w:rFonts w:ascii="Arial" w:hAnsi="Arial" w:cs="Arial"/>
          <w:i/>
          <w:color w:val="000000"/>
          <w:sz w:val="24"/>
          <w:szCs w:val="24"/>
        </w:rPr>
        <w:t>Benvenuto</w:t>
      </w:r>
      <w:proofErr w:type="spellEnd"/>
      <w:r>
        <w:rPr>
          <w:rFonts w:ascii="Arial" w:hAnsi="Arial" w:cs="Arial"/>
          <w:i/>
          <w:color w:val="000000"/>
          <w:sz w:val="24"/>
          <w:szCs w:val="24"/>
        </w:rPr>
        <w:t xml:space="preserve">. Aconteció que el doctor </w:t>
      </w:r>
      <w:proofErr w:type="spellStart"/>
      <w:r>
        <w:rPr>
          <w:rFonts w:ascii="Arial" w:hAnsi="Arial" w:cs="Arial"/>
          <w:i/>
          <w:color w:val="000000"/>
          <w:sz w:val="24"/>
          <w:szCs w:val="24"/>
        </w:rPr>
        <w:t>Gianini</w:t>
      </w:r>
      <w:proofErr w:type="spellEnd"/>
      <w:r>
        <w:rPr>
          <w:rFonts w:ascii="Arial" w:hAnsi="Arial" w:cs="Arial"/>
          <w:i/>
          <w:color w:val="000000"/>
          <w:sz w:val="24"/>
          <w:szCs w:val="24"/>
        </w:rPr>
        <w:t xml:space="preserve"> es pariente de tres de las personas a las que se interesaba su allanamiento, por lo cual se me convocó para evitar cualquier recusación, para que estudiara el pedido de allanamiento y yo lo firmé. Luego de eso, yo no continué colaborando con la investigación hasta que el Procurador General, posteriormente a esto, me convoca formalmente y empiezo a trabajar de lleno en la investigación hasta que se declina la competencia en la Justicia Federal</w:t>
      </w:r>
      <w:r>
        <w:rPr>
          <w:rFonts w:ascii="Arial" w:hAnsi="Arial" w:cs="Arial"/>
          <w:color w:val="000000"/>
          <w:sz w:val="24"/>
          <w:szCs w:val="24"/>
        </w:rPr>
        <w:t xml:space="preserve">.” </w:t>
      </w:r>
    </w:p>
    <w:p w:rsidR="00B40F23" w:rsidRDefault="00B40F23">
      <w:pPr>
        <w:pStyle w:val="Normal1"/>
        <w:shd w:val="clear" w:color="auto" w:fill="FFFFFF"/>
        <w:spacing w:before="240" w:after="0" w:line="360" w:lineRule="auto"/>
        <w:ind w:firstLine="2835"/>
        <w:jc w:val="both"/>
        <w:rPr>
          <w:rFonts w:ascii="Arial" w:hAnsi="Arial" w:cs="Arial"/>
          <w:color w:val="000000"/>
          <w:sz w:val="24"/>
          <w:szCs w:val="24"/>
        </w:rPr>
      </w:pPr>
      <w:r>
        <w:rPr>
          <w:rFonts w:ascii="Arial" w:hAnsi="Arial" w:cs="Arial"/>
          <w:color w:val="000000"/>
          <w:sz w:val="24"/>
          <w:szCs w:val="24"/>
        </w:rPr>
        <w:t>Continuó su exposición y en relación a la denuncia que se le hizo manifestó que: “</w:t>
      </w:r>
      <w:r>
        <w:rPr>
          <w:rFonts w:ascii="Arial" w:hAnsi="Arial" w:cs="Arial"/>
          <w:i/>
          <w:color w:val="000000"/>
          <w:sz w:val="24"/>
          <w:szCs w:val="24"/>
        </w:rPr>
        <w:t xml:space="preserve">La denuncia se archivó, luego se confirmó el archivo por el Fiscal Coordinador como corresponde por haber sido denunciado un funcionario público, que en este caso era quien les habla y el doctor </w:t>
      </w:r>
      <w:proofErr w:type="spellStart"/>
      <w:r>
        <w:rPr>
          <w:rFonts w:ascii="Arial" w:hAnsi="Arial" w:cs="Arial"/>
          <w:i/>
          <w:color w:val="000000"/>
          <w:sz w:val="24"/>
          <w:szCs w:val="24"/>
        </w:rPr>
        <w:t>Gianini</w:t>
      </w:r>
      <w:proofErr w:type="spellEnd"/>
      <w:r>
        <w:rPr>
          <w:rFonts w:ascii="Arial" w:hAnsi="Arial" w:cs="Arial"/>
          <w:i/>
          <w:color w:val="000000"/>
          <w:sz w:val="24"/>
          <w:szCs w:val="24"/>
        </w:rPr>
        <w:t>, entre otros. Luego, una de las personas que había efectuado la denuncia hizo uso de la acción autónoma de continuar sin el Ministerio Público y ante el Juez de Garantías intentó continuar con la denuncia y fue rechazada por la Jueza de Garantías. Esa cuestión ha quedado firme ya</w:t>
      </w:r>
      <w:r>
        <w:rPr>
          <w:rFonts w:ascii="Arial" w:hAnsi="Arial" w:cs="Arial"/>
          <w:color w:val="000000"/>
          <w:sz w:val="24"/>
          <w:szCs w:val="24"/>
        </w:rPr>
        <w:t>.”</w:t>
      </w:r>
    </w:p>
    <w:p w:rsidR="00B40F23" w:rsidRDefault="00B40F23">
      <w:pPr>
        <w:pStyle w:val="Normal1"/>
        <w:shd w:val="clear" w:color="auto" w:fill="FFFFFF"/>
        <w:spacing w:before="240" w:after="0" w:line="360" w:lineRule="auto"/>
        <w:ind w:firstLine="2835"/>
        <w:jc w:val="both"/>
        <w:rPr>
          <w:rFonts w:ascii="Arial" w:hAnsi="Arial" w:cs="Arial"/>
          <w:color w:val="000000"/>
          <w:sz w:val="24"/>
          <w:szCs w:val="24"/>
        </w:rPr>
      </w:pPr>
      <w:r>
        <w:rPr>
          <w:rFonts w:ascii="Arial" w:hAnsi="Arial" w:cs="Arial"/>
          <w:color w:val="000000"/>
          <w:sz w:val="24"/>
          <w:szCs w:val="24"/>
        </w:rPr>
        <w:t>Que al ser consultado si en su opinión personal consideraba un error haber firmado ese instrumento por el cual solicitaba los allanamientos sin haber verificado detenidamente los elementos probatorios que había en la causa; señaló que: “</w:t>
      </w:r>
      <w:r>
        <w:rPr>
          <w:rFonts w:ascii="Arial" w:hAnsi="Arial" w:cs="Arial"/>
          <w:i/>
          <w:color w:val="000000"/>
          <w:sz w:val="24"/>
          <w:szCs w:val="24"/>
        </w:rPr>
        <w:t>No. De hecho se verificaron dichos elementos y había indicios suficientes para requerir tal medida por parte de la Jueza de Garantías. Es más, en la resolución donde pone fin a la acusación autónoma, ella misma, y si me permite, quisiera leer la resolución, donde ella misma dice que sin que hubiese existido ese entrecruzamiento de llamadas, el Ministerio Público había presentado suficientes evidencias como para que los allanamientos sean otorgados. Lo dijo la propia jueza de Garantías, ajena totalmente al Ministerio Público Fiscal.</w:t>
      </w:r>
      <w:r>
        <w:rPr>
          <w:rFonts w:ascii="Arial" w:hAnsi="Arial" w:cs="Arial"/>
          <w:color w:val="000000"/>
          <w:sz w:val="24"/>
          <w:szCs w:val="24"/>
        </w:rPr>
        <w:t>”. Y agrega: “</w:t>
      </w:r>
      <w:r>
        <w:rPr>
          <w:rFonts w:ascii="Arial" w:hAnsi="Arial" w:cs="Arial"/>
          <w:i/>
          <w:color w:val="000000"/>
          <w:sz w:val="24"/>
          <w:szCs w:val="24"/>
        </w:rPr>
        <w:t>Lo que pasa es que hay que tener en cuenta dos cosas. Primero, el caso que se está investigando y la celeridad que requiere la toma de decisiones. Era una persona que estaba siendo buscada, desaparecida, con lo cual el Ministerio Público Fiscal tiene que actuar con la celeridad que el caso requiere. Entonces, lo que se hace es trabajar en equipo. Y cuando se trabaja en equipo, puede ser que alguien cometa un error como lo ha hecho el técnico de la Policía de Entre Ríos que ha efectuado los entrecruzamientos. El volumen de cruce de llamadas era muy importante y si yo me hubiese detenido a examinar una por una toda esa información, hubiese demorado. Creo que hasta el día de hoy hubiera estado leyendo todos los cruces de llamados. Con lo cual, la urgencia que el caso ameritaba, la búsqueda de una persona, hace que uno confíe en otros operarios judiciales y da por hecho de que se chequea. Incluso fue un error de la planilla de Excel. Tiró un número mal.”.</w:t>
      </w:r>
      <w:r>
        <w:rPr>
          <w:rFonts w:ascii="Arial" w:hAnsi="Arial" w:cs="Arial"/>
          <w:color w:val="000000"/>
          <w:sz w:val="24"/>
          <w:szCs w:val="24"/>
        </w:rPr>
        <w:t xml:space="preserve"> Y luego continuó diciendo que: “... </w:t>
      </w:r>
      <w:r>
        <w:rPr>
          <w:rFonts w:ascii="Arial" w:hAnsi="Arial" w:cs="Arial"/>
          <w:i/>
          <w:color w:val="000000"/>
          <w:sz w:val="24"/>
          <w:szCs w:val="24"/>
        </w:rPr>
        <w:t>Pero no se violó ninguna garantía. El Ministerio Público Fiscal, independientemente de ese entrecruzamiento, contaba con evidencias más que suficientes como para requerir el ingreso a los domicilios al Juez de Garantías. Incluso se acompañó un pedido de la querella, que también pidió a la Jueza de Garantías el allanamiento, y la Jueza valoró todo. No es que haya sido dirimente. Si hubiera sido dirimente el cruce de llamadas, le estaría diciendo: “Sí, señor. Fue un error”. Pero como había indicios más que suficientes que ameritaban el pedido del Ministerio Público Fiscal, es que lo firmé</w:t>
      </w:r>
      <w:r>
        <w:rPr>
          <w:rFonts w:ascii="Arial" w:hAnsi="Arial" w:cs="Arial"/>
          <w:color w:val="000000"/>
          <w:sz w:val="24"/>
          <w:szCs w:val="24"/>
        </w:rPr>
        <w:t>.”.</w:t>
      </w:r>
    </w:p>
    <w:p w:rsidR="00B40F23" w:rsidRDefault="00B40F23">
      <w:pPr>
        <w:pStyle w:val="Normal1"/>
        <w:shd w:val="clear" w:color="auto" w:fill="FFFFFF"/>
        <w:spacing w:before="240" w:after="0" w:line="360" w:lineRule="auto"/>
        <w:ind w:firstLine="2835"/>
        <w:jc w:val="both"/>
        <w:rPr>
          <w:rFonts w:ascii="Arial" w:hAnsi="Arial" w:cs="Arial"/>
          <w:sz w:val="24"/>
          <w:szCs w:val="24"/>
          <w:highlight w:val="white"/>
        </w:rPr>
      </w:pPr>
      <w:r>
        <w:rPr>
          <w:rFonts w:ascii="Arial" w:hAnsi="Arial" w:cs="Arial"/>
          <w:sz w:val="24"/>
          <w:szCs w:val="24"/>
          <w:highlight w:val="white"/>
        </w:rPr>
        <w:t xml:space="preserve">Recibida que fuera la documentación que esta Comisión solicitó al Poder Judicial por medio la Resolución de fecha 14 de Junio de 2018, y realizado que fue su análisis, se ha podido arribar a la conclusión de que la actuación del Dr. TELENTA tal como referenció en su descargo se llevó a cabo dentro de los </w:t>
      </w:r>
      <w:proofErr w:type="spellStart"/>
      <w:r>
        <w:rPr>
          <w:rFonts w:ascii="Arial" w:hAnsi="Arial" w:cs="Arial"/>
          <w:sz w:val="24"/>
          <w:szCs w:val="24"/>
          <w:highlight w:val="white"/>
        </w:rPr>
        <w:t>lìmites</w:t>
      </w:r>
      <w:proofErr w:type="spellEnd"/>
      <w:r>
        <w:rPr>
          <w:rFonts w:ascii="Arial" w:hAnsi="Arial" w:cs="Arial"/>
          <w:sz w:val="24"/>
          <w:szCs w:val="24"/>
          <w:highlight w:val="white"/>
        </w:rPr>
        <w:t xml:space="preserve"> del ejercicio de su función como Fiscal.</w:t>
      </w:r>
    </w:p>
    <w:p w:rsidR="00B40F23" w:rsidRDefault="00B40F23" w:rsidP="00263137">
      <w:pPr>
        <w:pStyle w:val="Normal1"/>
        <w:shd w:val="clear" w:color="auto" w:fill="FFFFFF"/>
        <w:spacing w:before="240" w:after="0" w:line="360" w:lineRule="auto"/>
        <w:ind w:firstLine="2835"/>
        <w:jc w:val="both"/>
        <w:rPr>
          <w:rFonts w:ascii="Arial" w:hAnsi="Arial" w:cs="Arial"/>
          <w:sz w:val="24"/>
          <w:szCs w:val="24"/>
          <w:highlight w:val="white"/>
        </w:rPr>
      </w:pPr>
      <w:r>
        <w:rPr>
          <w:rFonts w:ascii="Arial" w:hAnsi="Arial" w:cs="Arial"/>
          <w:sz w:val="24"/>
          <w:szCs w:val="24"/>
          <w:highlight w:val="white"/>
        </w:rPr>
        <w:t xml:space="preserve">Sin perjuicio de que a vistas de las actuaciones, los miembros de esta Comisión, no hemos advertido irregularidades en la investigación llevada a cabo por </w:t>
      </w:r>
      <w:proofErr w:type="spellStart"/>
      <w:r>
        <w:rPr>
          <w:rFonts w:ascii="Arial" w:hAnsi="Arial" w:cs="Arial"/>
          <w:sz w:val="24"/>
          <w:szCs w:val="24"/>
          <w:highlight w:val="white"/>
        </w:rPr>
        <w:t>Telenta</w:t>
      </w:r>
      <w:proofErr w:type="spellEnd"/>
      <w:r>
        <w:rPr>
          <w:rFonts w:ascii="Arial" w:hAnsi="Arial" w:cs="Arial"/>
          <w:sz w:val="24"/>
          <w:szCs w:val="24"/>
          <w:highlight w:val="white"/>
        </w:rPr>
        <w:t xml:space="preserve"> en el caso “</w:t>
      </w:r>
      <w:proofErr w:type="spellStart"/>
      <w:r>
        <w:rPr>
          <w:rFonts w:ascii="Arial" w:hAnsi="Arial" w:cs="Arial"/>
          <w:sz w:val="24"/>
          <w:szCs w:val="24"/>
          <w:highlight w:val="white"/>
        </w:rPr>
        <w:t>Benvenuto</w:t>
      </w:r>
      <w:proofErr w:type="spellEnd"/>
      <w:r>
        <w:rPr>
          <w:rFonts w:ascii="Arial" w:hAnsi="Arial" w:cs="Arial"/>
          <w:sz w:val="24"/>
          <w:szCs w:val="24"/>
          <w:highlight w:val="white"/>
        </w:rPr>
        <w:t>”, pero además no podemos soslayar que en él, tomó intervención un Juzgado de Garantías y que, en nuestro sistema, es éste quien debe controlar que las sospechas o presunciones sobre las que se funda el pedido de una medida de allanamiento y requisa debe ser producto de un estado cognoscitivo del representante del Ministerio Fiscal solicitante, al que debiera arribar en función de datos objetivos y razones suficientes.  Es decir, que es el Juzgado de Garantías el que -en este o en cualquier caso debe procurar que el estado de sospecha no reconozca como único y puro fundamento meras inferencias o suposiciones arbitrarias del representante ministerial.</w:t>
      </w:r>
    </w:p>
    <w:p w:rsidR="00B40F23" w:rsidRDefault="00B40F23">
      <w:pPr>
        <w:pStyle w:val="Normal1"/>
        <w:shd w:val="clear" w:color="auto" w:fill="FFFFFF"/>
        <w:spacing w:before="240" w:after="0" w:line="360" w:lineRule="auto"/>
        <w:ind w:firstLine="2835"/>
        <w:jc w:val="both"/>
        <w:rPr>
          <w:rFonts w:ascii="Arial" w:hAnsi="Arial" w:cs="Arial"/>
          <w:sz w:val="24"/>
          <w:szCs w:val="24"/>
          <w:highlight w:val="white"/>
        </w:rPr>
      </w:pPr>
      <w:r>
        <w:rPr>
          <w:rFonts w:ascii="Arial" w:hAnsi="Arial" w:cs="Arial"/>
          <w:sz w:val="24"/>
          <w:szCs w:val="24"/>
          <w:highlight w:val="white"/>
        </w:rPr>
        <w:t xml:space="preserve">Es que en nuestro sistema, el Fiscal debe arribar a la sospecha, creencia o suposición sobre alguien o algo para solicitar de manera fundada el pedido de allanamiento sobre la base de distintos elementos y es el Juez de Garantías quien debe verificar que tenga correlato en la existencia y objetividad de los elementos con los que cuenta y que no sea solamente el producto de una intuición, capricho u olfato investigativo. </w:t>
      </w:r>
    </w:p>
    <w:p w:rsidR="00B40F23" w:rsidRDefault="00B40F23">
      <w:pPr>
        <w:pStyle w:val="Normal1"/>
        <w:shd w:val="clear" w:color="auto" w:fill="FFFFFF"/>
        <w:spacing w:before="240" w:after="0" w:line="360" w:lineRule="auto"/>
        <w:ind w:firstLine="2835"/>
        <w:jc w:val="both"/>
        <w:rPr>
          <w:rFonts w:ascii="Arial" w:hAnsi="Arial" w:cs="Arial"/>
          <w:sz w:val="24"/>
          <w:szCs w:val="24"/>
          <w:highlight w:val="white"/>
        </w:rPr>
      </w:pPr>
      <w:r>
        <w:rPr>
          <w:rFonts w:ascii="Arial" w:hAnsi="Arial" w:cs="Arial"/>
          <w:sz w:val="24"/>
          <w:szCs w:val="24"/>
          <w:highlight w:val="white"/>
        </w:rPr>
        <w:t>De allí, y del análisis de los distintos elementos que hemos podido verificar, entendemos que el Dr. TELENTA actuó, en el especial caso “</w:t>
      </w:r>
      <w:proofErr w:type="spellStart"/>
      <w:r>
        <w:rPr>
          <w:rFonts w:ascii="Arial" w:hAnsi="Arial" w:cs="Arial"/>
          <w:sz w:val="24"/>
          <w:szCs w:val="24"/>
          <w:highlight w:val="white"/>
        </w:rPr>
        <w:t>Benvenuto</w:t>
      </w:r>
      <w:proofErr w:type="spellEnd"/>
      <w:r>
        <w:rPr>
          <w:rFonts w:ascii="Arial" w:hAnsi="Arial" w:cs="Arial"/>
          <w:sz w:val="24"/>
          <w:szCs w:val="24"/>
          <w:highlight w:val="white"/>
        </w:rPr>
        <w:t>”, dentro de la esfera de sus atribuciones y funciones, desarrollando su deber de investigar, y que es función del Juez de Garantías analizar la pretensión de allanamiento y requisa para ordenar que sea expedida una vez que haya constatado las razones por las cuales se solicita y que refieran a la sospecha de que el lugar a allanar puede tener relación con la conducta investigable.</w:t>
      </w:r>
    </w:p>
    <w:p w:rsidR="00B40F23" w:rsidRDefault="00B40F23">
      <w:pPr>
        <w:pStyle w:val="Normal1"/>
        <w:shd w:val="clear" w:color="auto" w:fill="FFFFFF"/>
        <w:spacing w:before="240" w:after="0" w:line="360" w:lineRule="auto"/>
        <w:ind w:firstLine="2835"/>
        <w:jc w:val="both"/>
        <w:rPr>
          <w:rFonts w:ascii="Arial" w:hAnsi="Arial" w:cs="Arial"/>
          <w:sz w:val="24"/>
          <w:szCs w:val="24"/>
          <w:highlight w:val="white"/>
        </w:rPr>
      </w:pPr>
      <w:r>
        <w:rPr>
          <w:rFonts w:ascii="Arial" w:hAnsi="Arial" w:cs="Arial"/>
          <w:sz w:val="24"/>
          <w:szCs w:val="24"/>
          <w:highlight w:val="white"/>
        </w:rPr>
        <w:t xml:space="preserve">En lo demás y como elemento objetivo surge que las denuncias que les fueron realizadas al Dr. TELENTA resultaron analizadas en distintas instancias y archivadas. </w:t>
      </w:r>
    </w:p>
    <w:p w:rsidR="00B40F23" w:rsidRDefault="00B40F23">
      <w:pPr>
        <w:pStyle w:val="Normal1"/>
        <w:shd w:val="clear" w:color="auto" w:fill="FFFFFF"/>
        <w:spacing w:before="240" w:after="0" w:line="360" w:lineRule="auto"/>
        <w:ind w:firstLine="2835"/>
        <w:jc w:val="both"/>
        <w:rPr>
          <w:rFonts w:ascii="Arial" w:hAnsi="Arial" w:cs="Arial"/>
          <w:sz w:val="24"/>
          <w:szCs w:val="24"/>
          <w:highlight w:val="white"/>
        </w:rPr>
      </w:pPr>
      <w:r>
        <w:rPr>
          <w:rFonts w:ascii="Arial" w:hAnsi="Arial" w:cs="Arial"/>
          <w:sz w:val="24"/>
          <w:szCs w:val="24"/>
          <w:highlight w:val="white"/>
        </w:rPr>
        <w:t>Es por todo lo expuesto y teniendo presente que al resto de las preguntas que le fueran formuladas respondió de modo amplio y satisfactorio, que esta Comisión de Asuntos Constitucionales y Acuerdos, aconseja al Senado de Entre Ríos conceder el Acuerdo Constitucional solicitado por el Poder Ejecutivo Provincial.</w:t>
      </w:r>
    </w:p>
    <w:p w:rsidR="001B099D" w:rsidRDefault="001B099D">
      <w:pPr>
        <w:pStyle w:val="Normal1"/>
        <w:shd w:val="clear" w:color="auto" w:fill="FFFFFF"/>
        <w:spacing w:before="240" w:after="0" w:line="360" w:lineRule="auto"/>
        <w:ind w:firstLine="2835"/>
        <w:jc w:val="both"/>
        <w:rPr>
          <w:rFonts w:ascii="Arial" w:hAnsi="Arial" w:cs="Arial"/>
          <w:sz w:val="24"/>
          <w:szCs w:val="24"/>
          <w:highlight w:val="white"/>
        </w:rPr>
      </w:pPr>
    </w:p>
    <w:p w:rsidR="001B099D" w:rsidRDefault="001B099D">
      <w:pPr>
        <w:pStyle w:val="Normal1"/>
        <w:shd w:val="clear" w:color="auto" w:fill="FFFFFF"/>
        <w:spacing w:before="240" w:after="0" w:line="360" w:lineRule="auto"/>
        <w:ind w:firstLine="2835"/>
        <w:jc w:val="both"/>
        <w:rPr>
          <w:rFonts w:ascii="Arial" w:hAnsi="Arial" w:cs="Arial"/>
          <w:sz w:val="24"/>
          <w:szCs w:val="24"/>
          <w:highlight w:val="white"/>
        </w:rPr>
      </w:pPr>
    </w:p>
    <w:p w:rsidR="0019282A" w:rsidRDefault="0019282A">
      <w:pPr>
        <w:pStyle w:val="Normal1"/>
        <w:shd w:val="clear" w:color="auto" w:fill="FFFFFF"/>
        <w:spacing w:before="240" w:after="0" w:line="360" w:lineRule="auto"/>
        <w:jc w:val="center"/>
        <w:rPr>
          <w:rFonts w:ascii="Arial" w:hAnsi="Arial" w:cs="Arial"/>
          <w:b/>
          <w:color w:val="000000"/>
          <w:sz w:val="24"/>
          <w:szCs w:val="24"/>
        </w:rPr>
      </w:pPr>
    </w:p>
    <w:p w:rsidR="00B40F23" w:rsidRDefault="00B40F23">
      <w:pPr>
        <w:pStyle w:val="Normal1"/>
        <w:shd w:val="clear" w:color="auto" w:fill="FFFFFF"/>
        <w:spacing w:before="240" w:after="0" w:line="360" w:lineRule="auto"/>
        <w:jc w:val="center"/>
        <w:rPr>
          <w:rFonts w:ascii="Arial" w:hAnsi="Arial" w:cs="Arial"/>
          <w:color w:val="000000"/>
          <w:sz w:val="24"/>
          <w:szCs w:val="24"/>
        </w:rPr>
      </w:pPr>
      <w:r>
        <w:rPr>
          <w:rFonts w:ascii="Arial" w:hAnsi="Arial" w:cs="Arial"/>
          <w:b/>
          <w:color w:val="000000"/>
          <w:sz w:val="24"/>
          <w:szCs w:val="24"/>
        </w:rPr>
        <w:t>LA HONORABLE CÁMARA DE SENADORES DE ENTRE RÍOS</w:t>
      </w:r>
    </w:p>
    <w:p w:rsidR="00B40F23" w:rsidRDefault="00B40F23">
      <w:pPr>
        <w:pStyle w:val="Normal1"/>
        <w:shd w:val="clear" w:color="auto" w:fill="FFFFFF"/>
        <w:spacing w:before="280" w:after="280" w:line="360" w:lineRule="auto"/>
        <w:jc w:val="center"/>
        <w:rPr>
          <w:rFonts w:ascii="Arial" w:hAnsi="Arial" w:cs="Arial"/>
          <w:b/>
          <w:color w:val="000000"/>
          <w:sz w:val="27"/>
          <w:szCs w:val="27"/>
        </w:rPr>
      </w:pPr>
      <w:r>
        <w:rPr>
          <w:rFonts w:ascii="Arial" w:hAnsi="Arial" w:cs="Arial"/>
          <w:b/>
          <w:color w:val="000000"/>
          <w:sz w:val="24"/>
          <w:szCs w:val="24"/>
        </w:rPr>
        <w:t>RESUELVE</w:t>
      </w:r>
    </w:p>
    <w:p w:rsidR="00B40F23" w:rsidRDefault="00B40F23">
      <w:pPr>
        <w:pStyle w:val="Normal1"/>
        <w:shd w:val="clear" w:color="auto" w:fill="FFFFFF"/>
        <w:spacing w:after="0" w:line="360" w:lineRule="auto"/>
        <w:ind w:firstLine="720"/>
        <w:jc w:val="both"/>
        <w:rPr>
          <w:rFonts w:ascii="Arial" w:hAnsi="Arial" w:cs="Arial"/>
          <w:color w:val="000000"/>
          <w:sz w:val="24"/>
          <w:szCs w:val="24"/>
        </w:rPr>
      </w:pPr>
      <w:r>
        <w:rPr>
          <w:rFonts w:ascii="Arial" w:hAnsi="Arial" w:cs="Arial"/>
          <w:b/>
          <w:color w:val="000000"/>
          <w:sz w:val="24"/>
          <w:szCs w:val="24"/>
          <w:u w:val="single"/>
        </w:rPr>
        <w:t>ARTÍCULO 1º</w:t>
      </w:r>
      <w:r>
        <w:rPr>
          <w:rFonts w:ascii="Arial" w:hAnsi="Arial" w:cs="Arial"/>
          <w:color w:val="000000"/>
          <w:sz w:val="24"/>
          <w:szCs w:val="24"/>
        </w:rPr>
        <w:t>: Prestar el Acuerdo Constitucional, solicitado por el Poder Ejecutivo, para nombrar Juez del Juzgado de Garantías de la ciudad de Gualeguaychú,</w:t>
      </w:r>
      <w:r>
        <w:rPr>
          <w:rFonts w:ascii="Arial" w:hAnsi="Arial" w:cs="Arial"/>
          <w:sz w:val="24"/>
          <w:szCs w:val="24"/>
        </w:rPr>
        <w:t xml:space="preserve"> </w:t>
      </w:r>
      <w:r>
        <w:rPr>
          <w:rFonts w:ascii="Arial" w:hAnsi="Arial" w:cs="Arial"/>
          <w:color w:val="000000"/>
          <w:sz w:val="24"/>
          <w:szCs w:val="24"/>
        </w:rPr>
        <w:t>al</w:t>
      </w:r>
      <w:r>
        <w:rPr>
          <w:rFonts w:ascii="Arial" w:hAnsi="Arial" w:cs="Arial"/>
          <w:sz w:val="24"/>
          <w:szCs w:val="24"/>
        </w:rPr>
        <w:t xml:space="preserve"> </w:t>
      </w:r>
      <w:r>
        <w:rPr>
          <w:rFonts w:ascii="Arial" w:hAnsi="Arial" w:cs="Arial"/>
          <w:b/>
          <w:color w:val="000000"/>
          <w:sz w:val="24"/>
          <w:szCs w:val="24"/>
        </w:rPr>
        <w:t>Dr.</w:t>
      </w:r>
      <w:r>
        <w:rPr>
          <w:rFonts w:ascii="Arial" w:hAnsi="Arial" w:cs="Arial"/>
          <w:b/>
          <w:sz w:val="24"/>
          <w:szCs w:val="24"/>
        </w:rPr>
        <w:t xml:space="preserve"> </w:t>
      </w:r>
      <w:r>
        <w:rPr>
          <w:rFonts w:ascii="Arial" w:hAnsi="Arial" w:cs="Arial"/>
          <w:b/>
          <w:color w:val="000000"/>
          <w:sz w:val="24"/>
          <w:szCs w:val="24"/>
        </w:rPr>
        <w:t>Ignacio</w:t>
      </w:r>
      <w:r>
        <w:rPr>
          <w:rFonts w:ascii="Arial" w:hAnsi="Arial" w:cs="Arial"/>
          <w:b/>
          <w:sz w:val="24"/>
          <w:szCs w:val="24"/>
        </w:rPr>
        <w:t xml:space="preserve"> </w:t>
      </w:r>
      <w:r>
        <w:rPr>
          <w:rFonts w:ascii="Arial" w:hAnsi="Arial" w:cs="Arial"/>
          <w:b/>
          <w:color w:val="000000"/>
          <w:sz w:val="24"/>
          <w:szCs w:val="24"/>
        </w:rPr>
        <w:t>Boris</w:t>
      </w:r>
      <w:r>
        <w:rPr>
          <w:rFonts w:ascii="Arial" w:hAnsi="Arial" w:cs="Arial"/>
          <w:b/>
          <w:sz w:val="24"/>
          <w:szCs w:val="24"/>
        </w:rPr>
        <w:t xml:space="preserve"> </w:t>
      </w:r>
      <w:r>
        <w:rPr>
          <w:rFonts w:ascii="Arial" w:hAnsi="Arial" w:cs="Arial"/>
          <w:b/>
          <w:color w:val="000000"/>
          <w:sz w:val="24"/>
          <w:szCs w:val="24"/>
        </w:rPr>
        <w:t>Nicolás</w:t>
      </w:r>
      <w:r>
        <w:rPr>
          <w:rFonts w:ascii="Arial" w:hAnsi="Arial" w:cs="Arial"/>
          <w:b/>
          <w:sz w:val="24"/>
          <w:szCs w:val="24"/>
        </w:rPr>
        <w:t xml:space="preserve"> </w:t>
      </w:r>
      <w:r>
        <w:rPr>
          <w:rFonts w:ascii="Arial" w:hAnsi="Arial" w:cs="Arial"/>
          <w:b/>
          <w:color w:val="000000"/>
          <w:sz w:val="24"/>
          <w:szCs w:val="24"/>
        </w:rPr>
        <w:t>TELENTA</w:t>
      </w:r>
      <w:r>
        <w:rPr>
          <w:rFonts w:ascii="Arial" w:hAnsi="Arial" w:cs="Arial"/>
          <w:sz w:val="24"/>
          <w:szCs w:val="24"/>
        </w:rPr>
        <w:t>,</w:t>
      </w:r>
      <w:r>
        <w:rPr>
          <w:rFonts w:ascii="Arial" w:hAnsi="Arial" w:cs="Arial"/>
          <w:b/>
          <w:sz w:val="24"/>
          <w:szCs w:val="24"/>
        </w:rPr>
        <w:t xml:space="preserve"> </w:t>
      </w:r>
      <w:r>
        <w:rPr>
          <w:rFonts w:ascii="Arial" w:hAnsi="Arial" w:cs="Arial"/>
          <w:color w:val="000000"/>
          <w:sz w:val="24"/>
          <w:szCs w:val="24"/>
        </w:rPr>
        <w:t>D.N.I.</w:t>
      </w:r>
      <w:r>
        <w:rPr>
          <w:rFonts w:ascii="Arial" w:hAnsi="Arial" w:cs="Arial"/>
          <w:sz w:val="24"/>
          <w:szCs w:val="24"/>
        </w:rPr>
        <w:t xml:space="preserve"> </w:t>
      </w:r>
      <w:r>
        <w:rPr>
          <w:rFonts w:ascii="Arial" w:hAnsi="Arial" w:cs="Arial"/>
          <w:color w:val="000000"/>
          <w:sz w:val="24"/>
          <w:szCs w:val="24"/>
        </w:rPr>
        <w:t>Nº</w:t>
      </w:r>
      <w:r>
        <w:rPr>
          <w:rFonts w:ascii="Arial" w:hAnsi="Arial" w:cs="Arial"/>
          <w:sz w:val="24"/>
          <w:szCs w:val="24"/>
        </w:rPr>
        <w:t xml:space="preserve"> </w:t>
      </w:r>
      <w:r>
        <w:rPr>
          <w:rFonts w:ascii="Arial" w:hAnsi="Arial" w:cs="Arial"/>
          <w:color w:val="000000"/>
          <w:sz w:val="24"/>
          <w:szCs w:val="24"/>
        </w:rPr>
        <w:t>26.438.087, clase 1978.</w:t>
      </w:r>
    </w:p>
    <w:p w:rsidR="00B40F23" w:rsidRDefault="00B40F23">
      <w:pPr>
        <w:pStyle w:val="Normal1"/>
        <w:shd w:val="clear" w:color="auto" w:fill="FFFFFF"/>
        <w:spacing w:after="0" w:line="360" w:lineRule="auto"/>
        <w:jc w:val="both"/>
        <w:rPr>
          <w:color w:val="000000"/>
          <w:sz w:val="24"/>
          <w:szCs w:val="24"/>
        </w:rPr>
      </w:pPr>
    </w:p>
    <w:p w:rsidR="00B40F23" w:rsidRDefault="00B40F23">
      <w:pPr>
        <w:pStyle w:val="Normal1"/>
        <w:shd w:val="clear" w:color="auto" w:fill="FFFFFF"/>
        <w:spacing w:after="0" w:line="360" w:lineRule="auto"/>
        <w:ind w:firstLine="720"/>
        <w:jc w:val="both"/>
        <w:rPr>
          <w:color w:val="000000"/>
          <w:sz w:val="24"/>
          <w:szCs w:val="24"/>
        </w:rPr>
      </w:pPr>
      <w:r>
        <w:rPr>
          <w:rFonts w:ascii="Arial" w:hAnsi="Arial" w:cs="Arial"/>
          <w:b/>
          <w:color w:val="000000"/>
          <w:sz w:val="24"/>
          <w:szCs w:val="24"/>
          <w:u w:val="single"/>
        </w:rPr>
        <w:t>ARTÍCULO 2º</w:t>
      </w:r>
      <w:r>
        <w:rPr>
          <w:rFonts w:ascii="Arial" w:hAnsi="Arial" w:cs="Arial"/>
          <w:color w:val="000000"/>
          <w:sz w:val="24"/>
          <w:szCs w:val="24"/>
        </w:rPr>
        <w:t>: Comuníquese, etc.-</w:t>
      </w:r>
    </w:p>
    <w:p w:rsidR="00B40F23" w:rsidRDefault="00B40F23">
      <w:pPr>
        <w:pStyle w:val="Normal1"/>
        <w:shd w:val="clear" w:color="auto" w:fill="FFFFFF"/>
        <w:spacing w:before="280" w:after="280"/>
        <w:jc w:val="right"/>
        <w:rPr>
          <w:b/>
          <w:color w:val="000000"/>
          <w:sz w:val="36"/>
          <w:szCs w:val="36"/>
        </w:rPr>
      </w:pPr>
      <w:r>
        <w:rPr>
          <w:rFonts w:ascii="Arial" w:hAnsi="Arial" w:cs="Arial"/>
          <w:b/>
          <w:color w:val="000000"/>
          <w:sz w:val="24"/>
          <w:szCs w:val="24"/>
        </w:rPr>
        <w:t>PARANÁ, 12 de Septiembre de 2018</w:t>
      </w:r>
      <w:r>
        <w:rPr>
          <w:rFonts w:ascii="Arial" w:hAnsi="Arial" w:cs="Arial"/>
          <w:color w:val="000000"/>
          <w:sz w:val="24"/>
          <w:szCs w:val="24"/>
        </w:rPr>
        <w:t>. Sala de Comisiones.-</w:t>
      </w:r>
    </w:p>
    <w:p w:rsidR="00B40F23" w:rsidRDefault="00B40F23">
      <w:pPr>
        <w:pStyle w:val="Normal1"/>
        <w:shd w:val="clear" w:color="auto" w:fill="FFFFFF"/>
        <w:spacing w:after="0" w:line="240" w:lineRule="auto"/>
        <w:jc w:val="both"/>
        <w:rPr>
          <w:color w:val="000000"/>
          <w:sz w:val="24"/>
          <w:szCs w:val="24"/>
        </w:rPr>
      </w:pPr>
      <w:r>
        <w:rPr>
          <w:rFonts w:ascii="Arial" w:hAnsi="Arial" w:cs="Arial"/>
          <w:b/>
          <w:color w:val="000000"/>
          <w:sz w:val="24"/>
          <w:szCs w:val="24"/>
        </w:rPr>
        <w:t> </w:t>
      </w:r>
    </w:p>
    <w:p w:rsidR="00B40F23" w:rsidRDefault="00B40F23">
      <w:pPr>
        <w:pStyle w:val="Normal1"/>
        <w:shd w:val="clear" w:color="auto" w:fill="FFFFFF"/>
        <w:spacing w:after="0" w:line="240" w:lineRule="auto"/>
        <w:jc w:val="both"/>
        <w:rPr>
          <w:color w:val="000000"/>
          <w:sz w:val="24"/>
          <w:szCs w:val="24"/>
        </w:rPr>
      </w:pPr>
      <w:r>
        <w:rPr>
          <w:rFonts w:ascii="Arial" w:hAnsi="Arial" w:cs="Arial"/>
          <w:b/>
          <w:color w:val="000000"/>
          <w:sz w:val="24"/>
          <w:szCs w:val="24"/>
        </w:rPr>
        <w:t> </w:t>
      </w:r>
    </w:p>
    <w:p w:rsidR="00B40F23" w:rsidRDefault="00B40F23">
      <w:pPr>
        <w:pStyle w:val="Normal1"/>
        <w:shd w:val="clear" w:color="auto" w:fill="FFFFFF"/>
        <w:spacing w:after="0" w:line="240" w:lineRule="auto"/>
        <w:jc w:val="both"/>
        <w:rPr>
          <w:color w:val="000000"/>
          <w:sz w:val="24"/>
          <w:szCs w:val="24"/>
        </w:rPr>
      </w:pPr>
      <w:r>
        <w:rPr>
          <w:rFonts w:ascii="Arial" w:hAnsi="Arial" w:cs="Arial"/>
          <w:b/>
          <w:color w:val="000000"/>
          <w:sz w:val="24"/>
          <w:szCs w:val="24"/>
        </w:rPr>
        <w:t> </w:t>
      </w:r>
    </w:p>
    <w:p w:rsidR="00B40F23" w:rsidRDefault="00B40F23">
      <w:pPr>
        <w:pStyle w:val="Normal1"/>
        <w:shd w:val="clear" w:color="auto" w:fill="FFFFFF"/>
        <w:spacing w:after="0" w:line="240" w:lineRule="auto"/>
        <w:jc w:val="both"/>
        <w:rPr>
          <w:color w:val="000000"/>
          <w:sz w:val="24"/>
          <w:szCs w:val="24"/>
        </w:rPr>
      </w:pPr>
      <w:r>
        <w:rPr>
          <w:rFonts w:ascii="Arial" w:hAnsi="Arial" w:cs="Arial"/>
          <w:b/>
          <w:color w:val="000000"/>
          <w:sz w:val="24"/>
          <w:szCs w:val="24"/>
        </w:rPr>
        <w:t>LARRARTE</w:t>
      </w:r>
      <w:r>
        <w:rPr>
          <w:rFonts w:ascii="Arial" w:hAnsi="Arial" w:cs="Arial"/>
          <w:color w:val="000000"/>
          <w:sz w:val="24"/>
          <w:szCs w:val="24"/>
        </w:rPr>
        <w:t>, Lucas                                               </w:t>
      </w:r>
      <w:r>
        <w:rPr>
          <w:rFonts w:ascii="Arial" w:hAnsi="Arial" w:cs="Arial"/>
          <w:b/>
          <w:color w:val="000000"/>
          <w:sz w:val="24"/>
          <w:szCs w:val="24"/>
        </w:rPr>
        <w:t>GIANO</w:t>
      </w:r>
      <w:r>
        <w:rPr>
          <w:rFonts w:ascii="Arial" w:hAnsi="Arial" w:cs="Arial"/>
          <w:color w:val="000000"/>
          <w:sz w:val="24"/>
          <w:szCs w:val="24"/>
        </w:rPr>
        <w:t>, Ángel F.</w:t>
      </w:r>
    </w:p>
    <w:p w:rsidR="00B40F23" w:rsidRDefault="00B40F23">
      <w:pPr>
        <w:pStyle w:val="Normal1"/>
        <w:shd w:val="clear" w:color="auto" w:fill="FFFFFF"/>
        <w:spacing w:after="0" w:line="240" w:lineRule="auto"/>
        <w:jc w:val="both"/>
        <w:rPr>
          <w:color w:val="000000"/>
          <w:sz w:val="24"/>
          <w:szCs w:val="24"/>
        </w:rPr>
      </w:pPr>
      <w:r>
        <w:rPr>
          <w:rFonts w:ascii="Arial" w:hAnsi="Arial" w:cs="Arial"/>
          <w:color w:val="000000"/>
          <w:sz w:val="24"/>
          <w:szCs w:val="24"/>
        </w:rPr>
        <w:t> </w:t>
      </w:r>
    </w:p>
    <w:p w:rsidR="00B40F23" w:rsidRDefault="00B40F23">
      <w:pPr>
        <w:pStyle w:val="Normal1"/>
        <w:shd w:val="clear" w:color="auto" w:fill="FFFFFF"/>
        <w:spacing w:after="0" w:line="240" w:lineRule="auto"/>
        <w:jc w:val="both"/>
        <w:rPr>
          <w:color w:val="000000"/>
          <w:sz w:val="24"/>
          <w:szCs w:val="24"/>
        </w:rPr>
      </w:pPr>
      <w:r>
        <w:rPr>
          <w:rFonts w:ascii="Arial" w:hAnsi="Arial" w:cs="Arial"/>
          <w:color w:val="000000"/>
          <w:sz w:val="24"/>
          <w:szCs w:val="24"/>
        </w:rPr>
        <w:t> </w:t>
      </w:r>
    </w:p>
    <w:p w:rsidR="00B40F23" w:rsidRDefault="00B40F23">
      <w:pPr>
        <w:pStyle w:val="Normal1"/>
        <w:shd w:val="clear" w:color="auto" w:fill="FFFFFF"/>
        <w:spacing w:after="0" w:line="240" w:lineRule="auto"/>
        <w:jc w:val="both"/>
        <w:rPr>
          <w:color w:val="000000"/>
          <w:sz w:val="24"/>
          <w:szCs w:val="24"/>
        </w:rPr>
      </w:pPr>
      <w:r>
        <w:rPr>
          <w:rFonts w:ascii="Arial" w:hAnsi="Arial" w:cs="Arial"/>
          <w:b/>
          <w:color w:val="000000"/>
          <w:sz w:val="24"/>
          <w:szCs w:val="24"/>
        </w:rPr>
        <w:t> </w:t>
      </w:r>
    </w:p>
    <w:p w:rsidR="00B40F23" w:rsidRDefault="00B40F23">
      <w:pPr>
        <w:pStyle w:val="Normal1"/>
        <w:shd w:val="clear" w:color="auto" w:fill="FFFFFF"/>
        <w:spacing w:after="0" w:line="240" w:lineRule="auto"/>
        <w:jc w:val="both"/>
        <w:rPr>
          <w:color w:val="000000"/>
          <w:sz w:val="24"/>
          <w:szCs w:val="24"/>
        </w:rPr>
      </w:pPr>
      <w:r>
        <w:rPr>
          <w:rFonts w:ascii="Arial" w:hAnsi="Arial" w:cs="Arial"/>
          <w:b/>
          <w:color w:val="000000"/>
          <w:sz w:val="24"/>
          <w:szCs w:val="24"/>
        </w:rPr>
        <w:t>CANALI</w:t>
      </w:r>
      <w:r>
        <w:rPr>
          <w:rFonts w:ascii="Arial" w:hAnsi="Arial" w:cs="Arial"/>
          <w:color w:val="000000"/>
          <w:sz w:val="24"/>
          <w:szCs w:val="24"/>
        </w:rPr>
        <w:t>, Pablo A.                                                 </w:t>
      </w:r>
      <w:r>
        <w:rPr>
          <w:rFonts w:ascii="Arial" w:hAnsi="Arial" w:cs="Arial"/>
          <w:b/>
          <w:color w:val="000000"/>
          <w:sz w:val="24"/>
          <w:szCs w:val="24"/>
        </w:rPr>
        <w:t>MIRANDA</w:t>
      </w:r>
      <w:r>
        <w:rPr>
          <w:rFonts w:ascii="Arial" w:hAnsi="Arial" w:cs="Arial"/>
          <w:color w:val="000000"/>
          <w:sz w:val="24"/>
          <w:szCs w:val="24"/>
        </w:rPr>
        <w:t>, Nancy S.</w:t>
      </w:r>
    </w:p>
    <w:p w:rsidR="00B40F23" w:rsidRDefault="00B40F23">
      <w:pPr>
        <w:pStyle w:val="Normal1"/>
        <w:shd w:val="clear" w:color="auto" w:fill="FFFFFF"/>
        <w:spacing w:after="0" w:line="240" w:lineRule="auto"/>
        <w:jc w:val="both"/>
        <w:rPr>
          <w:color w:val="000000"/>
          <w:sz w:val="24"/>
          <w:szCs w:val="24"/>
        </w:rPr>
      </w:pPr>
      <w:r>
        <w:rPr>
          <w:rFonts w:ascii="Arial" w:hAnsi="Arial" w:cs="Arial"/>
          <w:color w:val="000000"/>
          <w:sz w:val="24"/>
          <w:szCs w:val="24"/>
        </w:rPr>
        <w:t> </w:t>
      </w:r>
    </w:p>
    <w:p w:rsidR="00B40F23" w:rsidRDefault="00B40F23">
      <w:pPr>
        <w:pStyle w:val="Normal1"/>
        <w:shd w:val="clear" w:color="auto" w:fill="FFFFFF"/>
        <w:spacing w:after="0" w:line="240" w:lineRule="auto"/>
        <w:jc w:val="both"/>
        <w:rPr>
          <w:color w:val="000000"/>
          <w:sz w:val="24"/>
          <w:szCs w:val="24"/>
        </w:rPr>
      </w:pPr>
      <w:r>
        <w:rPr>
          <w:rFonts w:ascii="Arial" w:hAnsi="Arial" w:cs="Arial"/>
          <w:color w:val="000000"/>
          <w:sz w:val="24"/>
          <w:szCs w:val="24"/>
        </w:rPr>
        <w:t> </w:t>
      </w:r>
    </w:p>
    <w:p w:rsidR="00B40F23" w:rsidRDefault="00B40F23">
      <w:pPr>
        <w:pStyle w:val="Normal1"/>
        <w:shd w:val="clear" w:color="auto" w:fill="FFFFFF"/>
        <w:spacing w:after="0" w:line="240" w:lineRule="auto"/>
        <w:jc w:val="both"/>
        <w:rPr>
          <w:color w:val="000000"/>
          <w:sz w:val="24"/>
          <w:szCs w:val="24"/>
        </w:rPr>
      </w:pPr>
      <w:r>
        <w:rPr>
          <w:rFonts w:ascii="Arial" w:hAnsi="Arial" w:cs="Arial"/>
          <w:b/>
          <w:color w:val="000000"/>
          <w:sz w:val="24"/>
          <w:szCs w:val="24"/>
        </w:rPr>
        <w:t> </w:t>
      </w:r>
    </w:p>
    <w:p w:rsidR="00B40F23" w:rsidRDefault="00B40F23">
      <w:pPr>
        <w:pStyle w:val="Normal1"/>
        <w:shd w:val="clear" w:color="auto" w:fill="FFFFFF"/>
        <w:spacing w:after="0" w:line="240" w:lineRule="auto"/>
        <w:jc w:val="both"/>
        <w:rPr>
          <w:color w:val="000000"/>
          <w:sz w:val="24"/>
          <w:szCs w:val="24"/>
        </w:rPr>
      </w:pPr>
      <w:r>
        <w:rPr>
          <w:rFonts w:ascii="Arial" w:hAnsi="Arial" w:cs="Arial"/>
          <w:b/>
          <w:color w:val="000000"/>
          <w:sz w:val="24"/>
          <w:szCs w:val="24"/>
        </w:rPr>
        <w:t>FERRARI</w:t>
      </w:r>
      <w:r>
        <w:rPr>
          <w:rFonts w:ascii="Arial" w:hAnsi="Arial" w:cs="Arial"/>
          <w:color w:val="000000"/>
          <w:sz w:val="24"/>
          <w:szCs w:val="24"/>
        </w:rPr>
        <w:t>, Roque R.                                             </w:t>
      </w:r>
      <w:r>
        <w:rPr>
          <w:rFonts w:ascii="Arial" w:hAnsi="Arial" w:cs="Arial"/>
          <w:b/>
          <w:color w:val="000000"/>
          <w:sz w:val="24"/>
          <w:szCs w:val="24"/>
        </w:rPr>
        <w:t>KISSER</w:t>
      </w:r>
      <w:r>
        <w:rPr>
          <w:rFonts w:ascii="Arial" w:hAnsi="Arial" w:cs="Arial"/>
          <w:color w:val="000000"/>
          <w:sz w:val="24"/>
          <w:szCs w:val="24"/>
        </w:rPr>
        <w:t>, Raymundo A.</w:t>
      </w:r>
    </w:p>
    <w:p w:rsidR="00B40F23" w:rsidRDefault="00B40F23">
      <w:pPr>
        <w:pStyle w:val="Normal1"/>
        <w:shd w:val="clear" w:color="auto" w:fill="FFFFFF"/>
        <w:spacing w:after="0" w:line="240" w:lineRule="auto"/>
        <w:jc w:val="both"/>
        <w:rPr>
          <w:color w:val="000000"/>
          <w:sz w:val="24"/>
          <w:szCs w:val="24"/>
        </w:rPr>
      </w:pPr>
      <w:r>
        <w:rPr>
          <w:rFonts w:ascii="Arial" w:hAnsi="Arial" w:cs="Arial"/>
          <w:color w:val="000000"/>
          <w:sz w:val="24"/>
          <w:szCs w:val="24"/>
        </w:rPr>
        <w:t> </w:t>
      </w:r>
    </w:p>
    <w:p w:rsidR="00B40F23" w:rsidRDefault="00B40F23">
      <w:pPr>
        <w:pStyle w:val="Normal1"/>
        <w:shd w:val="clear" w:color="auto" w:fill="FFFFFF"/>
        <w:spacing w:after="0" w:line="240" w:lineRule="auto"/>
        <w:jc w:val="both"/>
        <w:rPr>
          <w:color w:val="000000"/>
          <w:sz w:val="24"/>
          <w:szCs w:val="24"/>
        </w:rPr>
      </w:pPr>
      <w:r>
        <w:rPr>
          <w:rFonts w:ascii="Arial" w:hAnsi="Arial" w:cs="Arial"/>
          <w:color w:val="000000"/>
          <w:sz w:val="24"/>
          <w:szCs w:val="24"/>
        </w:rPr>
        <w:t> </w:t>
      </w:r>
    </w:p>
    <w:p w:rsidR="00B40F23" w:rsidRDefault="00B40F23">
      <w:pPr>
        <w:pStyle w:val="Normal1"/>
        <w:shd w:val="clear" w:color="auto" w:fill="FFFFFF"/>
        <w:spacing w:after="0" w:line="240" w:lineRule="auto"/>
        <w:jc w:val="both"/>
        <w:rPr>
          <w:color w:val="000000"/>
          <w:sz w:val="24"/>
          <w:szCs w:val="24"/>
        </w:rPr>
      </w:pPr>
      <w:r>
        <w:rPr>
          <w:rFonts w:ascii="Arial" w:hAnsi="Arial" w:cs="Arial"/>
          <w:color w:val="000000"/>
          <w:sz w:val="24"/>
          <w:szCs w:val="24"/>
        </w:rPr>
        <w:t> </w:t>
      </w:r>
    </w:p>
    <w:p w:rsidR="00B40F23" w:rsidRDefault="00B40F23">
      <w:pPr>
        <w:pStyle w:val="Normal1"/>
        <w:shd w:val="clear" w:color="auto" w:fill="FFFFFF"/>
        <w:spacing w:after="0" w:line="240" w:lineRule="auto"/>
        <w:jc w:val="both"/>
        <w:rPr>
          <w:rFonts w:ascii="Arial" w:hAnsi="Arial" w:cs="Arial"/>
          <w:color w:val="000000"/>
          <w:sz w:val="24"/>
          <w:szCs w:val="24"/>
        </w:rPr>
      </w:pPr>
      <w:r>
        <w:rPr>
          <w:rFonts w:ascii="Arial" w:hAnsi="Arial" w:cs="Arial"/>
          <w:b/>
          <w:color w:val="000000"/>
          <w:sz w:val="24"/>
          <w:szCs w:val="24"/>
        </w:rPr>
        <w:t>SCHILD</w:t>
      </w:r>
      <w:r>
        <w:rPr>
          <w:rFonts w:ascii="Arial" w:hAnsi="Arial" w:cs="Arial"/>
          <w:color w:val="000000"/>
          <w:sz w:val="24"/>
          <w:szCs w:val="24"/>
        </w:rPr>
        <w:t>, Rogelio Omar</w:t>
      </w:r>
    </w:p>
    <w:p w:rsidR="00B40F23" w:rsidRDefault="00B40F23">
      <w:pPr>
        <w:pStyle w:val="Normal1"/>
      </w:pPr>
    </w:p>
    <w:sectPr w:rsidR="00B40F23" w:rsidSect="004E46AE">
      <w:pgSz w:w="11906" w:h="16838"/>
      <w:pgMar w:top="2834" w:right="1133" w:bottom="1417" w:left="226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6AE"/>
    <w:rsid w:val="0011672A"/>
    <w:rsid w:val="0019282A"/>
    <w:rsid w:val="001B099D"/>
    <w:rsid w:val="001E2E59"/>
    <w:rsid w:val="00263137"/>
    <w:rsid w:val="00330025"/>
    <w:rsid w:val="004E46AE"/>
    <w:rsid w:val="00567169"/>
    <w:rsid w:val="007157D6"/>
    <w:rsid w:val="00993751"/>
    <w:rsid w:val="00B40F23"/>
    <w:rsid w:val="00CB299D"/>
    <w:rsid w:val="00EF65F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E61E948-CD8D-414B-BDD9-B05A00BDE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s-AR" w:eastAsia="es-AR"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style>
  <w:style w:type="paragraph" w:styleId="Ttulo1">
    <w:name w:val="heading 1"/>
    <w:basedOn w:val="Normal1"/>
    <w:next w:val="Normal1"/>
    <w:link w:val="Ttulo1Car"/>
    <w:uiPriority w:val="99"/>
    <w:qFormat/>
    <w:rsid w:val="004E46AE"/>
    <w:pPr>
      <w:keepNext/>
      <w:keepLines/>
      <w:spacing w:before="480" w:after="120"/>
      <w:outlineLvl w:val="0"/>
    </w:pPr>
    <w:rPr>
      <w:b/>
      <w:sz w:val="48"/>
      <w:szCs w:val="48"/>
    </w:rPr>
  </w:style>
  <w:style w:type="paragraph" w:styleId="Ttulo2">
    <w:name w:val="heading 2"/>
    <w:basedOn w:val="Normal1"/>
    <w:next w:val="Normal1"/>
    <w:link w:val="Ttulo2Car"/>
    <w:uiPriority w:val="99"/>
    <w:qFormat/>
    <w:rsid w:val="004E46AE"/>
    <w:pPr>
      <w:keepNext/>
      <w:keepLines/>
      <w:spacing w:before="360" w:after="80"/>
      <w:outlineLvl w:val="1"/>
    </w:pPr>
    <w:rPr>
      <w:b/>
      <w:sz w:val="36"/>
      <w:szCs w:val="36"/>
    </w:rPr>
  </w:style>
  <w:style w:type="paragraph" w:styleId="Ttulo3">
    <w:name w:val="heading 3"/>
    <w:basedOn w:val="Normal1"/>
    <w:next w:val="Normal1"/>
    <w:link w:val="Ttulo3Car"/>
    <w:uiPriority w:val="99"/>
    <w:qFormat/>
    <w:rsid w:val="004E46AE"/>
    <w:pPr>
      <w:keepNext/>
      <w:keepLines/>
      <w:spacing w:before="280" w:after="80"/>
      <w:outlineLvl w:val="2"/>
    </w:pPr>
    <w:rPr>
      <w:b/>
      <w:sz w:val="28"/>
      <w:szCs w:val="28"/>
    </w:rPr>
  </w:style>
  <w:style w:type="paragraph" w:styleId="Ttulo4">
    <w:name w:val="heading 4"/>
    <w:basedOn w:val="Normal1"/>
    <w:next w:val="Normal1"/>
    <w:link w:val="Ttulo4Car"/>
    <w:uiPriority w:val="99"/>
    <w:qFormat/>
    <w:rsid w:val="004E46AE"/>
    <w:pPr>
      <w:keepNext/>
      <w:keepLines/>
      <w:spacing w:before="240" w:after="40"/>
      <w:outlineLvl w:val="3"/>
    </w:pPr>
    <w:rPr>
      <w:b/>
      <w:sz w:val="24"/>
      <w:szCs w:val="24"/>
    </w:rPr>
  </w:style>
  <w:style w:type="paragraph" w:styleId="Ttulo5">
    <w:name w:val="heading 5"/>
    <w:basedOn w:val="Normal1"/>
    <w:next w:val="Normal1"/>
    <w:link w:val="Ttulo5Car"/>
    <w:uiPriority w:val="99"/>
    <w:qFormat/>
    <w:rsid w:val="004E46AE"/>
    <w:pPr>
      <w:keepNext/>
      <w:keepLines/>
      <w:spacing w:before="220" w:after="40"/>
      <w:outlineLvl w:val="4"/>
    </w:pPr>
    <w:rPr>
      <w:b/>
    </w:rPr>
  </w:style>
  <w:style w:type="paragraph" w:styleId="Ttulo6">
    <w:name w:val="heading 6"/>
    <w:basedOn w:val="Normal1"/>
    <w:next w:val="Normal1"/>
    <w:link w:val="Ttulo6Car"/>
    <w:uiPriority w:val="99"/>
    <w:qFormat/>
    <w:rsid w:val="004E46AE"/>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836B1"/>
    <w:rPr>
      <w:rFonts w:asciiTheme="majorHAnsi" w:eastAsiaTheme="majorEastAsia" w:hAnsiTheme="majorHAnsi" w:cstheme="majorBidi"/>
      <w:b/>
      <w:bCs/>
      <w:kern w:val="32"/>
      <w:sz w:val="32"/>
      <w:szCs w:val="32"/>
    </w:rPr>
  </w:style>
  <w:style w:type="character" w:customStyle="1" w:styleId="Ttulo2Car">
    <w:name w:val="Título 2 Car"/>
    <w:basedOn w:val="Fuentedeprrafopredeter"/>
    <w:link w:val="Ttulo2"/>
    <w:uiPriority w:val="9"/>
    <w:semiHidden/>
    <w:rsid w:val="00C836B1"/>
    <w:rPr>
      <w:rFonts w:asciiTheme="majorHAnsi" w:eastAsiaTheme="majorEastAsia" w:hAnsiTheme="majorHAnsi" w:cstheme="majorBidi"/>
      <w:b/>
      <w:bCs/>
      <w:i/>
      <w:iCs/>
      <w:sz w:val="28"/>
      <w:szCs w:val="28"/>
    </w:rPr>
  </w:style>
  <w:style w:type="character" w:customStyle="1" w:styleId="Ttulo3Car">
    <w:name w:val="Título 3 Car"/>
    <w:basedOn w:val="Fuentedeprrafopredeter"/>
    <w:link w:val="Ttulo3"/>
    <w:uiPriority w:val="9"/>
    <w:semiHidden/>
    <w:rsid w:val="00C836B1"/>
    <w:rPr>
      <w:rFonts w:asciiTheme="majorHAnsi" w:eastAsiaTheme="majorEastAsia" w:hAnsiTheme="majorHAnsi" w:cstheme="majorBidi"/>
      <w:b/>
      <w:bCs/>
      <w:sz w:val="26"/>
      <w:szCs w:val="26"/>
    </w:rPr>
  </w:style>
  <w:style w:type="character" w:customStyle="1" w:styleId="Ttulo4Car">
    <w:name w:val="Título 4 Car"/>
    <w:basedOn w:val="Fuentedeprrafopredeter"/>
    <w:link w:val="Ttulo4"/>
    <w:uiPriority w:val="9"/>
    <w:semiHidden/>
    <w:rsid w:val="00C836B1"/>
    <w:rPr>
      <w:rFonts w:asciiTheme="minorHAnsi" w:eastAsiaTheme="minorEastAsia" w:hAnsiTheme="minorHAnsi" w:cstheme="minorBidi"/>
      <w:b/>
      <w:bCs/>
      <w:sz w:val="28"/>
      <w:szCs w:val="28"/>
    </w:rPr>
  </w:style>
  <w:style w:type="character" w:customStyle="1" w:styleId="Ttulo5Car">
    <w:name w:val="Título 5 Car"/>
    <w:basedOn w:val="Fuentedeprrafopredeter"/>
    <w:link w:val="Ttulo5"/>
    <w:uiPriority w:val="9"/>
    <w:semiHidden/>
    <w:rsid w:val="00C836B1"/>
    <w:rPr>
      <w:rFonts w:asciiTheme="minorHAnsi" w:eastAsiaTheme="minorEastAsia" w:hAnsiTheme="minorHAnsi" w:cstheme="minorBidi"/>
      <w:b/>
      <w:bCs/>
      <w:i/>
      <w:iCs/>
      <w:sz w:val="26"/>
      <w:szCs w:val="26"/>
    </w:rPr>
  </w:style>
  <w:style w:type="character" w:customStyle="1" w:styleId="Ttulo6Car">
    <w:name w:val="Título 6 Car"/>
    <w:basedOn w:val="Fuentedeprrafopredeter"/>
    <w:link w:val="Ttulo6"/>
    <w:uiPriority w:val="9"/>
    <w:semiHidden/>
    <w:rsid w:val="00C836B1"/>
    <w:rPr>
      <w:rFonts w:asciiTheme="minorHAnsi" w:eastAsiaTheme="minorEastAsia" w:hAnsiTheme="minorHAnsi" w:cstheme="minorBidi"/>
      <w:b/>
      <w:bCs/>
    </w:rPr>
  </w:style>
  <w:style w:type="paragraph" w:customStyle="1" w:styleId="Normal1">
    <w:name w:val="Normal1"/>
    <w:uiPriority w:val="99"/>
    <w:rsid w:val="004E46AE"/>
    <w:pPr>
      <w:spacing w:after="200" w:line="276" w:lineRule="auto"/>
    </w:pPr>
  </w:style>
  <w:style w:type="paragraph" w:styleId="Ttulo">
    <w:name w:val="Title"/>
    <w:basedOn w:val="Normal1"/>
    <w:next w:val="Normal1"/>
    <w:link w:val="TtuloCar"/>
    <w:uiPriority w:val="99"/>
    <w:qFormat/>
    <w:rsid w:val="004E46AE"/>
    <w:pPr>
      <w:keepNext/>
      <w:keepLines/>
      <w:spacing w:before="480" w:after="120"/>
    </w:pPr>
    <w:rPr>
      <w:b/>
      <w:sz w:val="72"/>
      <w:szCs w:val="72"/>
    </w:rPr>
  </w:style>
  <w:style w:type="character" w:customStyle="1" w:styleId="TtuloCar">
    <w:name w:val="Título Car"/>
    <w:basedOn w:val="Fuentedeprrafopredeter"/>
    <w:link w:val="Ttulo"/>
    <w:uiPriority w:val="10"/>
    <w:rsid w:val="00C836B1"/>
    <w:rPr>
      <w:rFonts w:asciiTheme="majorHAnsi" w:eastAsiaTheme="majorEastAsia" w:hAnsiTheme="majorHAnsi" w:cstheme="majorBidi"/>
      <w:b/>
      <w:bCs/>
      <w:kern w:val="28"/>
      <w:sz w:val="32"/>
      <w:szCs w:val="32"/>
    </w:rPr>
  </w:style>
  <w:style w:type="paragraph" w:styleId="Subttulo">
    <w:name w:val="Subtitle"/>
    <w:basedOn w:val="Normal1"/>
    <w:next w:val="Normal1"/>
    <w:link w:val="SubttuloCar"/>
    <w:uiPriority w:val="99"/>
    <w:qFormat/>
    <w:rsid w:val="004E46AE"/>
    <w:pPr>
      <w:keepNext/>
      <w:keepLines/>
      <w:spacing w:before="360" w:after="80"/>
    </w:pPr>
    <w:rPr>
      <w:rFonts w:ascii="Georgia" w:hAnsi="Georgia" w:cs="Georgia"/>
      <w:i/>
      <w:color w:val="666666"/>
      <w:sz w:val="48"/>
      <w:szCs w:val="48"/>
    </w:rPr>
  </w:style>
  <w:style w:type="character" w:customStyle="1" w:styleId="SubttuloCar">
    <w:name w:val="Subtítulo Car"/>
    <w:basedOn w:val="Fuentedeprrafopredeter"/>
    <w:link w:val="Subttulo"/>
    <w:uiPriority w:val="11"/>
    <w:rsid w:val="00C836B1"/>
    <w:rPr>
      <w:rFonts w:asciiTheme="majorHAnsi" w:eastAsiaTheme="majorEastAsia" w:hAnsiTheme="majorHAnsi" w:cstheme="majorBidi"/>
      <w:sz w:val="24"/>
      <w:szCs w:val="24"/>
    </w:rPr>
  </w:style>
  <w:style w:type="paragraph" w:styleId="Textodeglobo">
    <w:name w:val="Balloon Text"/>
    <w:basedOn w:val="Normal"/>
    <w:link w:val="TextodegloboCar"/>
    <w:uiPriority w:val="99"/>
    <w:semiHidden/>
    <w:unhideWhenUsed/>
    <w:rsid w:val="0019282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28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1531</Words>
  <Characters>8421</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HONORABLE SENADO:  </vt:lpstr>
    </vt:vector>
  </TitlesOfParts>
  <Company/>
  <LinksUpToDate>false</LinksUpToDate>
  <CharactersWithSpaces>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SENADO:</dc:title>
  <dc:subject/>
  <dc:creator>Camara de Senadores</dc:creator>
  <cp:keywords/>
  <dc:description/>
  <cp:lastModifiedBy>Romina</cp:lastModifiedBy>
  <cp:revision>2</cp:revision>
  <cp:lastPrinted>2018-09-12T15:36:00Z</cp:lastPrinted>
  <dcterms:created xsi:type="dcterms:W3CDTF">2018-09-17T13:57:00Z</dcterms:created>
  <dcterms:modified xsi:type="dcterms:W3CDTF">2018-09-17T13:57:00Z</dcterms:modified>
</cp:coreProperties>
</file>