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960" w:rsidRDefault="00DA5960" w:rsidP="005E2CBE">
      <w:pPr>
        <w:spacing w:after="240"/>
        <w:ind w:firstLine="1985"/>
        <w:jc w:val="both"/>
        <w:rPr>
          <w:rFonts w:ascii="Century Gothic" w:hAnsi="Century Gothic"/>
        </w:rPr>
      </w:pPr>
    </w:p>
    <w:p w:rsidR="00DA5960" w:rsidRDefault="00DA5960" w:rsidP="005E2CBE">
      <w:pPr>
        <w:spacing w:after="240"/>
        <w:ind w:firstLine="1985"/>
        <w:jc w:val="both"/>
        <w:rPr>
          <w:rFonts w:ascii="Century Gothic" w:hAnsi="Century Gothic"/>
        </w:rPr>
      </w:pPr>
    </w:p>
    <w:p w:rsidR="00DA5960" w:rsidRDefault="00DA5960" w:rsidP="005E2CBE">
      <w:pPr>
        <w:spacing w:after="240"/>
        <w:ind w:firstLine="1985"/>
        <w:jc w:val="both"/>
        <w:rPr>
          <w:rFonts w:ascii="Century Gothic" w:hAnsi="Century Gothic"/>
        </w:rPr>
      </w:pPr>
    </w:p>
    <w:p w:rsidR="00DA5960" w:rsidRDefault="00DA5960" w:rsidP="005E2CBE">
      <w:pPr>
        <w:spacing w:after="240"/>
        <w:ind w:firstLine="1985"/>
        <w:jc w:val="both"/>
        <w:rPr>
          <w:rFonts w:ascii="Century Gothic" w:hAnsi="Century Gothic"/>
        </w:rPr>
      </w:pPr>
    </w:p>
    <w:p w:rsidR="00DA5960" w:rsidRDefault="00DA5960" w:rsidP="001B74D6">
      <w:pPr>
        <w:spacing w:after="240"/>
        <w:jc w:val="both"/>
        <w:rPr>
          <w:rFonts w:ascii="Century Gothic" w:hAnsi="Century Gothic"/>
          <w:b/>
        </w:rPr>
      </w:pPr>
      <w:r>
        <w:rPr>
          <w:rFonts w:ascii="Century Gothic" w:hAnsi="Century Gothic"/>
          <w:b/>
        </w:rPr>
        <w:t xml:space="preserve">A LA </w:t>
      </w:r>
    </w:p>
    <w:p w:rsidR="00DA5960" w:rsidRDefault="00DA5960" w:rsidP="001B74D6">
      <w:pPr>
        <w:spacing w:after="240"/>
        <w:jc w:val="both"/>
        <w:rPr>
          <w:rFonts w:ascii="Century Gothic" w:hAnsi="Century Gothic"/>
          <w:b/>
        </w:rPr>
      </w:pPr>
      <w:r>
        <w:rPr>
          <w:rFonts w:ascii="Century Gothic" w:hAnsi="Century Gothic"/>
          <w:b/>
        </w:rPr>
        <w:t>HONORABLE LEGISLATURA</w:t>
      </w:r>
    </w:p>
    <w:p w:rsidR="00DA5960" w:rsidRPr="003536BA" w:rsidRDefault="00DA5960" w:rsidP="001B74D6">
      <w:pPr>
        <w:spacing w:after="240"/>
        <w:jc w:val="both"/>
        <w:rPr>
          <w:rFonts w:ascii="Century Gothic" w:hAnsi="Century Gothic"/>
          <w:b/>
          <w:u w:val="single"/>
        </w:rPr>
      </w:pPr>
      <w:r w:rsidRPr="003536BA">
        <w:rPr>
          <w:rFonts w:ascii="Century Gothic" w:hAnsi="Century Gothic"/>
          <w:b/>
          <w:u w:val="single"/>
        </w:rPr>
        <w:t>SU DESPACHO</w:t>
      </w:r>
    </w:p>
    <w:p w:rsidR="00DA5960" w:rsidRDefault="00DA5960" w:rsidP="001B74D6">
      <w:pPr>
        <w:spacing w:after="240" w:line="360" w:lineRule="auto"/>
        <w:ind w:firstLine="1440"/>
        <w:jc w:val="both"/>
        <w:rPr>
          <w:rFonts w:ascii="Century Gothic" w:hAnsi="Century Gothic"/>
        </w:rPr>
      </w:pPr>
      <w:r>
        <w:rPr>
          <w:rFonts w:ascii="Century Gothic" w:hAnsi="Century Gothic"/>
        </w:rPr>
        <w:t xml:space="preserve">Tengo el honor de dirigirme a esa Honorable Legislatura a fin de someter a su consideración y oportuno tratamiento el presente Proyecto de </w:t>
      </w:r>
      <w:r w:rsidRPr="00420EDB">
        <w:rPr>
          <w:rFonts w:ascii="Century Gothic" w:hAnsi="Century Gothic"/>
          <w:b/>
        </w:rPr>
        <w:t xml:space="preserve">LEY MODIFICATORIA DEL ARTÍCULO 26° DE </w:t>
      </w:r>
      <w:smartTag w:uri="urn:schemas-microsoft-com:office:smarttags" w:element="PersonName">
        <w:smartTagPr>
          <w:attr w:name="ProductID" w:val="LA LEY N"/>
        </w:smartTagPr>
        <w:r w:rsidRPr="00420EDB">
          <w:rPr>
            <w:rFonts w:ascii="Century Gothic" w:hAnsi="Century Gothic"/>
            <w:b/>
          </w:rPr>
          <w:t xml:space="preserve">LA LEY </w:t>
        </w:r>
        <w:proofErr w:type="spellStart"/>
        <w:r w:rsidRPr="00420EDB">
          <w:rPr>
            <w:rFonts w:ascii="Century Gothic" w:hAnsi="Century Gothic"/>
            <w:b/>
          </w:rPr>
          <w:t>N</w:t>
        </w:r>
      </w:smartTag>
      <w:r w:rsidRPr="00420EDB">
        <w:rPr>
          <w:rFonts w:ascii="Century Gothic" w:hAnsi="Century Gothic"/>
          <w:b/>
        </w:rPr>
        <w:t>°</w:t>
      </w:r>
      <w:proofErr w:type="spellEnd"/>
      <w:r w:rsidRPr="00420EDB">
        <w:rPr>
          <w:rFonts w:ascii="Century Gothic" w:hAnsi="Century Gothic"/>
          <w:b/>
        </w:rPr>
        <w:t xml:space="preserve"> 10.269 DE PRESUPUESTO DE </w:t>
      </w:r>
      <w:smartTag w:uri="urn:schemas-microsoft-com:office:smarttags" w:element="PersonName">
        <w:smartTagPr>
          <w:attr w:name="ProductID" w:val="LA ADMINISTRACIÓN PÚBLICA"/>
        </w:smartTagPr>
        <w:r w:rsidRPr="00420EDB">
          <w:rPr>
            <w:rFonts w:ascii="Century Gothic" w:hAnsi="Century Gothic"/>
            <w:b/>
          </w:rPr>
          <w:t>LA ADMINISTRACIÓN PÚBLICA</w:t>
        </w:r>
      </w:smartTag>
      <w:r w:rsidRPr="00420EDB">
        <w:rPr>
          <w:rFonts w:ascii="Century Gothic" w:hAnsi="Century Gothic"/>
          <w:b/>
        </w:rPr>
        <w:t xml:space="preserve"> EJERCICIO 2014</w:t>
      </w:r>
      <w:r>
        <w:rPr>
          <w:rFonts w:ascii="Century Gothic" w:hAnsi="Century Gothic"/>
        </w:rPr>
        <w:t>.</w:t>
      </w:r>
    </w:p>
    <w:p w:rsidR="00DA5960" w:rsidRDefault="00DA5960" w:rsidP="001B74D6">
      <w:pPr>
        <w:spacing w:after="240"/>
        <w:ind w:firstLine="1440"/>
        <w:jc w:val="both"/>
        <w:rPr>
          <w:rFonts w:ascii="Century Gothic" w:hAnsi="Century Gothic"/>
          <w:i/>
        </w:rPr>
      </w:pPr>
      <w:r>
        <w:rPr>
          <w:rFonts w:ascii="Century Gothic" w:hAnsi="Century Gothic"/>
        </w:rPr>
        <w:t xml:space="preserve">Al respecto, el artículo 26º de </w:t>
      </w:r>
      <w:smartTag w:uri="urn:schemas-microsoft-com:office:smarttags" w:element="PersonName">
        <w:smartTagPr>
          <w:attr w:name="ProductID" w:val="LA LEY N"/>
        </w:smartTagPr>
        <w:r>
          <w:rPr>
            <w:rFonts w:ascii="Century Gothic" w:hAnsi="Century Gothic"/>
          </w:rPr>
          <w:t xml:space="preserve">la Ley </w:t>
        </w:r>
        <w:proofErr w:type="spellStart"/>
        <w:r>
          <w:rPr>
            <w:rFonts w:ascii="Century Gothic" w:hAnsi="Century Gothic"/>
          </w:rPr>
          <w:t>N</w:t>
        </w:r>
      </w:smartTag>
      <w:r>
        <w:rPr>
          <w:rFonts w:ascii="Century Gothic" w:hAnsi="Century Gothic"/>
        </w:rPr>
        <w:t>º</w:t>
      </w:r>
      <w:proofErr w:type="spellEnd"/>
      <w:r>
        <w:rPr>
          <w:rFonts w:ascii="Century Gothic" w:hAnsi="Century Gothic"/>
        </w:rPr>
        <w:t xml:space="preserve"> 10.269 establece lo siguiente: “</w:t>
      </w:r>
      <w:r w:rsidRPr="003536BA">
        <w:rPr>
          <w:rFonts w:ascii="Century Gothic" w:hAnsi="Century Gothic"/>
          <w:i/>
        </w:rPr>
        <w:t xml:space="preserve">Determínese que a partir del ejercicio 2014 la administración del Fondo de Inversiones de Entre Ríos quedará a cargo del Ministerio de Producción, quien será la autoridad de aplicación de </w:t>
      </w:r>
      <w:smartTag w:uri="urn:schemas-microsoft-com:office:smarttags" w:element="PersonName">
        <w:smartTagPr>
          <w:attr w:name="ProductID" w:val="LA LEY N"/>
        </w:smartTagPr>
        <w:r w:rsidRPr="003536BA">
          <w:rPr>
            <w:rFonts w:ascii="Century Gothic" w:hAnsi="Century Gothic"/>
            <w:i/>
          </w:rPr>
          <w:t xml:space="preserve">la Ley </w:t>
        </w:r>
        <w:proofErr w:type="spellStart"/>
        <w:r w:rsidRPr="003536BA">
          <w:rPr>
            <w:rFonts w:ascii="Century Gothic" w:hAnsi="Century Gothic"/>
            <w:i/>
          </w:rPr>
          <w:t>N</w:t>
        </w:r>
      </w:smartTag>
      <w:r w:rsidRPr="003536BA">
        <w:rPr>
          <w:rFonts w:ascii="Century Gothic" w:hAnsi="Century Gothic"/>
          <w:i/>
        </w:rPr>
        <w:t>º</w:t>
      </w:r>
      <w:proofErr w:type="spellEnd"/>
      <w:r w:rsidRPr="003536BA">
        <w:rPr>
          <w:rFonts w:ascii="Century Gothic" w:hAnsi="Century Gothic"/>
          <w:i/>
        </w:rPr>
        <w:t xml:space="preserve"> 8.975, estableciéndose que los recursos financieros que se originen por el recupero de créditos que conforman su cartera, sean destinados a financiar aportes de capital de la sociedad Fondo de Garantías de Entre Ríos SA, o a integrar el Fondo de Riesgo de dicha sociedad.</w:t>
      </w:r>
    </w:p>
    <w:p w:rsidR="00DA5960" w:rsidRDefault="00DA5960" w:rsidP="001B74D6">
      <w:pPr>
        <w:spacing w:after="240"/>
        <w:ind w:firstLine="1440"/>
        <w:jc w:val="both"/>
        <w:rPr>
          <w:rFonts w:ascii="Century Gothic" w:hAnsi="Century Gothic"/>
          <w:i/>
        </w:rPr>
      </w:pPr>
      <w:r>
        <w:rPr>
          <w:rFonts w:ascii="Century Gothic" w:hAnsi="Century Gothic"/>
          <w:i/>
        </w:rPr>
        <w:t>El Poder Ejecutivo dictará los actos necesarios para instrumentar lo dispuesto en el presente”.</w:t>
      </w:r>
    </w:p>
    <w:p w:rsidR="00DA5960" w:rsidRDefault="00DA5960" w:rsidP="001B74D6">
      <w:pPr>
        <w:spacing w:after="240"/>
        <w:ind w:firstLine="1620"/>
        <w:jc w:val="both"/>
        <w:rPr>
          <w:rFonts w:ascii="Century Gothic" w:hAnsi="Century Gothic"/>
        </w:rPr>
      </w:pPr>
      <w:r>
        <w:rPr>
          <w:rFonts w:ascii="Century Gothic" w:hAnsi="Century Gothic"/>
        </w:rPr>
        <w:t xml:space="preserve">Por medio del Decreto </w:t>
      </w:r>
      <w:proofErr w:type="spellStart"/>
      <w:r>
        <w:rPr>
          <w:rFonts w:ascii="Century Gothic" w:hAnsi="Century Gothic"/>
        </w:rPr>
        <w:t>Nº</w:t>
      </w:r>
      <w:proofErr w:type="spellEnd"/>
      <w:r>
        <w:rPr>
          <w:rFonts w:ascii="Century Gothic" w:hAnsi="Century Gothic"/>
        </w:rPr>
        <w:t xml:space="preserve"> 244/14 MEHF, se dispone la modificación del Reglamento Operativo del Fondo de Inversiones de Entre Ríos – FINVER-, aprobado por Decreto </w:t>
      </w:r>
      <w:proofErr w:type="spellStart"/>
      <w:r>
        <w:rPr>
          <w:rFonts w:ascii="Century Gothic" w:hAnsi="Century Gothic"/>
        </w:rPr>
        <w:t>Nº</w:t>
      </w:r>
      <w:proofErr w:type="spellEnd"/>
      <w:r>
        <w:rPr>
          <w:rFonts w:ascii="Century Gothic" w:hAnsi="Century Gothic"/>
        </w:rPr>
        <w:t xml:space="preserve"> 833/04 MEOSP, Punto II, reemplazando </w:t>
      </w:r>
      <w:smartTag w:uri="urn:schemas-microsoft-com:office:smarttags" w:element="PersonName">
        <w:smartTagPr>
          <w:attr w:name="ProductID" w:val="la Estructura"/>
        </w:smartTagPr>
        <w:smartTag w:uri="urn:schemas-microsoft-com:office:smarttags" w:element="PersonName">
          <w:smartTagPr>
            <w:attr w:name="ProductID" w:val="la Estructura Institucional"/>
          </w:smartTagPr>
          <w:r>
            <w:rPr>
              <w:rFonts w:ascii="Century Gothic" w:hAnsi="Century Gothic"/>
            </w:rPr>
            <w:t>la Estructura</w:t>
          </w:r>
        </w:smartTag>
        <w:r>
          <w:rPr>
            <w:rFonts w:ascii="Century Gothic" w:hAnsi="Century Gothic"/>
          </w:rPr>
          <w:t xml:space="preserve"> Institucional</w:t>
        </w:r>
      </w:smartTag>
      <w:r>
        <w:rPr>
          <w:rFonts w:ascii="Century Gothic" w:hAnsi="Century Gothic"/>
        </w:rPr>
        <w:t xml:space="preserve"> establecida para el Directorio por la siguiente:</w:t>
      </w:r>
    </w:p>
    <w:p w:rsidR="00DA5960" w:rsidRDefault="00DA5960" w:rsidP="001B74D6">
      <w:pPr>
        <w:spacing w:after="240"/>
        <w:jc w:val="both"/>
        <w:rPr>
          <w:rFonts w:ascii="Century Gothic" w:hAnsi="Century Gothic"/>
        </w:rPr>
      </w:pPr>
      <w:r>
        <w:rPr>
          <w:rFonts w:ascii="Century Gothic" w:hAnsi="Century Gothic"/>
        </w:rPr>
        <w:t>Directorio:</w:t>
      </w:r>
    </w:p>
    <w:p w:rsidR="00DA5960" w:rsidRDefault="00DA5960" w:rsidP="001B74D6">
      <w:pPr>
        <w:numPr>
          <w:ilvl w:val="0"/>
          <w:numId w:val="6"/>
        </w:numPr>
        <w:spacing w:after="240"/>
        <w:jc w:val="both"/>
        <w:rPr>
          <w:rFonts w:ascii="Century Gothic" w:hAnsi="Century Gothic"/>
        </w:rPr>
      </w:pPr>
      <w:r>
        <w:rPr>
          <w:rFonts w:ascii="Century Gothic" w:hAnsi="Century Gothic"/>
        </w:rPr>
        <w:t>Director Administrador: que estará a cargo del Sr. Ministro de Producción o Secretario Ministerial dependiente del mismo.</w:t>
      </w:r>
    </w:p>
    <w:p w:rsidR="00DA5960" w:rsidRDefault="00DA5960" w:rsidP="001B74D6">
      <w:pPr>
        <w:numPr>
          <w:ilvl w:val="0"/>
          <w:numId w:val="6"/>
        </w:numPr>
        <w:spacing w:after="240"/>
        <w:jc w:val="both"/>
        <w:rPr>
          <w:rFonts w:ascii="Century Gothic" w:hAnsi="Century Gothic"/>
        </w:rPr>
      </w:pPr>
      <w:r>
        <w:rPr>
          <w:rFonts w:ascii="Century Gothic" w:hAnsi="Century Gothic"/>
        </w:rPr>
        <w:t>Sub-Administrador: cuya tarea será remunerada.</w:t>
      </w:r>
    </w:p>
    <w:p w:rsidR="00DA5960" w:rsidRDefault="00DA5960" w:rsidP="001B74D6">
      <w:pPr>
        <w:spacing w:after="240"/>
        <w:ind w:firstLine="1620"/>
        <w:jc w:val="both"/>
        <w:rPr>
          <w:rFonts w:ascii="Century Gothic" w:hAnsi="Century Gothic"/>
        </w:rPr>
      </w:pPr>
    </w:p>
    <w:p w:rsidR="00DA5960" w:rsidRDefault="00DA5960" w:rsidP="001B74D6">
      <w:pPr>
        <w:spacing w:after="240"/>
        <w:ind w:firstLine="1620"/>
        <w:jc w:val="both"/>
        <w:rPr>
          <w:rFonts w:ascii="Century Gothic" w:hAnsi="Century Gothic"/>
        </w:rPr>
      </w:pPr>
    </w:p>
    <w:p w:rsidR="00DA5960" w:rsidRDefault="00DA5960" w:rsidP="001B74D6">
      <w:pPr>
        <w:spacing w:after="240"/>
        <w:ind w:firstLine="1620"/>
        <w:jc w:val="both"/>
        <w:rPr>
          <w:rFonts w:ascii="Century Gothic" w:hAnsi="Century Gothic"/>
        </w:rPr>
      </w:pPr>
    </w:p>
    <w:p w:rsidR="00DA5960" w:rsidRDefault="00DA5960" w:rsidP="001B74D6">
      <w:pPr>
        <w:spacing w:after="240"/>
        <w:ind w:firstLine="1620"/>
        <w:jc w:val="both"/>
        <w:rPr>
          <w:rFonts w:ascii="Century Gothic" w:hAnsi="Century Gothic"/>
        </w:rPr>
      </w:pPr>
    </w:p>
    <w:p w:rsidR="00DA5960" w:rsidRDefault="00DA5960" w:rsidP="001B74D6">
      <w:pPr>
        <w:spacing w:after="240"/>
        <w:ind w:firstLine="1620"/>
        <w:jc w:val="both"/>
        <w:rPr>
          <w:rFonts w:ascii="Century Gothic" w:hAnsi="Century Gothic"/>
        </w:rPr>
      </w:pPr>
    </w:p>
    <w:p w:rsidR="00DA5960" w:rsidRDefault="00DA5960" w:rsidP="001B74D6">
      <w:pPr>
        <w:spacing w:after="240"/>
        <w:ind w:firstLine="1620"/>
        <w:jc w:val="both"/>
        <w:rPr>
          <w:rFonts w:ascii="Century Gothic" w:hAnsi="Century Gothic"/>
        </w:rPr>
      </w:pPr>
      <w:r>
        <w:rPr>
          <w:rFonts w:ascii="Century Gothic" w:hAnsi="Century Gothic"/>
        </w:rPr>
        <w:t>Actualmente, el FINVER posee como único recurso financiero para el cumplimiento de los objetivos a establecidos en su ley de creación, aquellos que se originan por el recupero de los créditos que conforman su cartera, los que a enero de 2018 ascendían a, aproximadamente, pesos ocho millones ($8.000.000).</w:t>
      </w:r>
    </w:p>
    <w:p w:rsidR="00DA5960" w:rsidRDefault="00DA5960" w:rsidP="001B74D6">
      <w:pPr>
        <w:spacing w:after="240"/>
        <w:ind w:firstLine="1620"/>
        <w:jc w:val="both"/>
        <w:rPr>
          <w:rFonts w:ascii="Century Gothic" w:hAnsi="Century Gothic"/>
        </w:rPr>
      </w:pPr>
      <w:r>
        <w:rPr>
          <w:rFonts w:ascii="Century Gothic" w:hAnsi="Century Gothic"/>
        </w:rPr>
        <w:t xml:space="preserve">No obstante ello, por el artículo 26º de </w:t>
      </w:r>
      <w:smartTag w:uri="urn:schemas-microsoft-com:office:smarttags" w:element="PersonName">
        <w:smartTagPr>
          <w:attr w:name="ProductID" w:val="LA LEY N"/>
        </w:smartTagPr>
        <w:r>
          <w:rPr>
            <w:rFonts w:ascii="Century Gothic" w:hAnsi="Century Gothic"/>
          </w:rPr>
          <w:t xml:space="preserve">la Ley </w:t>
        </w:r>
        <w:proofErr w:type="spellStart"/>
        <w:r>
          <w:rPr>
            <w:rFonts w:ascii="Century Gothic" w:hAnsi="Century Gothic"/>
          </w:rPr>
          <w:t>N</w:t>
        </w:r>
      </w:smartTag>
      <w:r>
        <w:rPr>
          <w:rFonts w:ascii="Century Gothic" w:hAnsi="Century Gothic"/>
        </w:rPr>
        <w:t>º</w:t>
      </w:r>
      <w:proofErr w:type="spellEnd"/>
      <w:r>
        <w:rPr>
          <w:rFonts w:ascii="Century Gothic" w:hAnsi="Century Gothic"/>
        </w:rPr>
        <w:t xml:space="preserve"> 10.269, se establece que los recursos financieros que se originen por el recupero de créditos que conforman su cartera, sean destinados a financiar aportes de capital de la sociedad Fondo de Garantías de Entre Ríos SA, o a integrar el Fondo de Riesgo de dicha sociedad.</w:t>
      </w:r>
    </w:p>
    <w:p w:rsidR="00DA5960" w:rsidRDefault="00DA5960" w:rsidP="001B74D6">
      <w:pPr>
        <w:spacing w:after="240"/>
        <w:ind w:firstLine="1620"/>
        <w:jc w:val="both"/>
        <w:rPr>
          <w:rFonts w:ascii="Century Gothic" w:hAnsi="Century Gothic"/>
        </w:rPr>
      </w:pPr>
      <w:r>
        <w:rPr>
          <w:rFonts w:ascii="Century Gothic" w:hAnsi="Century Gothic"/>
        </w:rPr>
        <w:t xml:space="preserve">Ante esta situación, el FINVER se ve imposibilitado de hacer uso de dicho recursos para los diversos destinos que establece el artículo 3º de </w:t>
      </w:r>
      <w:smartTag w:uri="urn:schemas-microsoft-com:office:smarttags" w:element="PersonName">
        <w:smartTagPr>
          <w:attr w:name="ProductID" w:val="LA LEY N"/>
        </w:smartTagPr>
        <w:r>
          <w:rPr>
            <w:rFonts w:ascii="Century Gothic" w:hAnsi="Century Gothic"/>
          </w:rPr>
          <w:t xml:space="preserve">la Ley </w:t>
        </w:r>
        <w:proofErr w:type="spellStart"/>
        <w:r>
          <w:rPr>
            <w:rFonts w:ascii="Century Gothic" w:hAnsi="Century Gothic"/>
          </w:rPr>
          <w:t>N</w:t>
        </w:r>
      </w:smartTag>
      <w:r>
        <w:rPr>
          <w:rFonts w:ascii="Century Gothic" w:hAnsi="Century Gothic"/>
        </w:rPr>
        <w:t>º</w:t>
      </w:r>
      <w:proofErr w:type="spellEnd"/>
      <w:r>
        <w:rPr>
          <w:rFonts w:ascii="Century Gothic" w:hAnsi="Century Gothic"/>
        </w:rPr>
        <w:t xml:space="preserve"> 8.975, quedando como destino exclusivo de los fondos disponibles el establecido en el inciso c) del mencionado artículo (constituir fondos de garantías y efectuar aportes a sociedades de garantía recíproca para facilitar el acceso al crédito a las </w:t>
      </w:r>
      <w:proofErr w:type="spellStart"/>
      <w:r>
        <w:rPr>
          <w:rFonts w:ascii="Century Gothic" w:hAnsi="Century Gothic"/>
        </w:rPr>
        <w:t>MiPyMEs</w:t>
      </w:r>
      <w:proofErr w:type="spellEnd"/>
      <w:r>
        <w:rPr>
          <w:rFonts w:ascii="Century Gothic" w:hAnsi="Century Gothic"/>
        </w:rPr>
        <w:t>).</w:t>
      </w:r>
    </w:p>
    <w:p w:rsidR="00DA5960" w:rsidRDefault="00DA5960" w:rsidP="001B74D6">
      <w:pPr>
        <w:spacing w:after="240"/>
        <w:ind w:firstLine="1620"/>
        <w:jc w:val="both"/>
        <w:rPr>
          <w:rFonts w:ascii="Century Gothic" w:hAnsi="Century Gothic"/>
        </w:rPr>
      </w:pPr>
      <w:r>
        <w:rPr>
          <w:rFonts w:ascii="Century Gothic" w:hAnsi="Century Gothic"/>
        </w:rPr>
        <w:t xml:space="preserve">Esto genera una paralización del Fondo de Inversiones, obstaculizando el cumplimiento de sus objetivos y funciones esenciales. Todo ello menoscaba el fin último por el cual se crea el mismo: ser soporte financiero de las acciones de política económica del Gobierno de </w:t>
      </w:r>
      <w:smartTag w:uri="urn:schemas-microsoft-com:office:smarttags" w:element="PersonName">
        <w:smartTagPr>
          <w:attr w:name="ProductID" w:val="la Provincia"/>
        </w:smartTagPr>
        <w:r>
          <w:rPr>
            <w:rFonts w:ascii="Century Gothic" w:hAnsi="Century Gothic"/>
          </w:rPr>
          <w:t>la Provincia</w:t>
        </w:r>
      </w:smartTag>
      <w:r>
        <w:rPr>
          <w:rFonts w:ascii="Century Gothic" w:hAnsi="Century Gothic"/>
        </w:rPr>
        <w:t xml:space="preserve">, destinadas a promover el crecimiento y el desarrollo de las </w:t>
      </w:r>
      <w:proofErr w:type="spellStart"/>
      <w:r>
        <w:rPr>
          <w:rFonts w:ascii="Century Gothic" w:hAnsi="Century Gothic"/>
        </w:rPr>
        <w:t>MiPyMEs</w:t>
      </w:r>
      <w:proofErr w:type="spellEnd"/>
      <w:r>
        <w:rPr>
          <w:rFonts w:ascii="Century Gothic" w:hAnsi="Century Gothic"/>
        </w:rPr>
        <w:t>, especialmente las pertenecientes a los sectores dinámicos de producción, sean agropecuarias, industriales y/o comerciales para mejorar la competitividad de la economía en el mediano y largo plazo y actuar como herramienta impulsora de inversión y empleo.</w:t>
      </w:r>
    </w:p>
    <w:p w:rsidR="00DA5960" w:rsidRDefault="00DA5960" w:rsidP="001B74D6">
      <w:pPr>
        <w:spacing w:after="240"/>
        <w:ind w:firstLine="1620"/>
        <w:jc w:val="both"/>
        <w:rPr>
          <w:rFonts w:ascii="Century Gothic" w:hAnsi="Century Gothic"/>
        </w:rPr>
      </w:pPr>
      <w:r>
        <w:rPr>
          <w:rFonts w:ascii="Century Gothic" w:hAnsi="Century Gothic"/>
        </w:rPr>
        <w:t xml:space="preserve">Por ello, es necesario que el FINVER pueda aplicar los recursos financieros disponibles a la consecución de sus objetivos, y para ello se requiere modificar el artículo 26º de </w:t>
      </w:r>
      <w:smartTag w:uri="urn:schemas-microsoft-com:office:smarttags" w:element="PersonName">
        <w:smartTagPr>
          <w:attr w:name="ProductID" w:val="LA LEY N"/>
        </w:smartTagPr>
        <w:r>
          <w:rPr>
            <w:rFonts w:ascii="Century Gothic" w:hAnsi="Century Gothic"/>
          </w:rPr>
          <w:t xml:space="preserve">la Ley </w:t>
        </w:r>
        <w:proofErr w:type="spellStart"/>
        <w:r>
          <w:rPr>
            <w:rFonts w:ascii="Century Gothic" w:hAnsi="Century Gothic"/>
          </w:rPr>
          <w:t>N</w:t>
        </w:r>
      </w:smartTag>
      <w:r>
        <w:rPr>
          <w:rFonts w:ascii="Century Gothic" w:hAnsi="Century Gothic"/>
        </w:rPr>
        <w:t>º</w:t>
      </w:r>
      <w:proofErr w:type="spellEnd"/>
      <w:r>
        <w:rPr>
          <w:rFonts w:ascii="Century Gothic" w:hAnsi="Century Gothic"/>
        </w:rPr>
        <w:t xml:space="preserve"> 10.269.</w:t>
      </w:r>
    </w:p>
    <w:p w:rsidR="00DA5960" w:rsidRDefault="00DA5960" w:rsidP="001B74D6">
      <w:pPr>
        <w:spacing w:after="240"/>
        <w:ind w:firstLine="1620"/>
        <w:jc w:val="both"/>
        <w:rPr>
          <w:rFonts w:ascii="Century Gothic" w:hAnsi="Century Gothic"/>
        </w:rPr>
      </w:pPr>
      <w:r>
        <w:rPr>
          <w:rFonts w:ascii="Century Gothic" w:hAnsi="Century Gothic"/>
        </w:rPr>
        <w:t>Por todo lo expuesto solicito el tratamiento y sanción del proyecto adjunto.</w:t>
      </w:r>
    </w:p>
    <w:p w:rsidR="00DA5960" w:rsidRDefault="00DA5960" w:rsidP="001B74D6">
      <w:pPr>
        <w:spacing w:after="240"/>
        <w:ind w:firstLine="1620"/>
        <w:jc w:val="both"/>
        <w:rPr>
          <w:rFonts w:ascii="Century Gothic" w:hAnsi="Century Gothic"/>
        </w:rPr>
      </w:pPr>
      <w:r>
        <w:rPr>
          <w:rFonts w:ascii="Century Gothic" w:hAnsi="Century Gothic"/>
        </w:rPr>
        <w:t>Dios guarde a V.H.</w:t>
      </w:r>
    </w:p>
    <w:p w:rsidR="00DA5960" w:rsidRDefault="00DA5960" w:rsidP="001B74D6">
      <w:pPr>
        <w:spacing w:after="240"/>
        <w:ind w:firstLine="1985"/>
        <w:jc w:val="both"/>
        <w:rPr>
          <w:rFonts w:ascii="Century Gothic" w:hAnsi="Century Gothic"/>
        </w:rPr>
      </w:pPr>
    </w:p>
    <w:p w:rsidR="00DA5960" w:rsidRDefault="00DA5960" w:rsidP="001B74D6">
      <w:pPr>
        <w:spacing w:after="240"/>
        <w:ind w:firstLine="1985"/>
        <w:jc w:val="both"/>
        <w:rPr>
          <w:rFonts w:ascii="Century Gothic" w:hAnsi="Century Gothic"/>
        </w:rPr>
      </w:pPr>
    </w:p>
    <w:p w:rsidR="00DA5960" w:rsidRDefault="00DA5960" w:rsidP="001B74D6">
      <w:pPr>
        <w:spacing w:after="240"/>
        <w:ind w:firstLine="1985"/>
        <w:jc w:val="both"/>
        <w:rPr>
          <w:rFonts w:ascii="Century Gothic" w:hAnsi="Century Gothic"/>
        </w:rPr>
      </w:pPr>
    </w:p>
    <w:p w:rsidR="00DA5960" w:rsidRDefault="00DA5960" w:rsidP="001B74D6">
      <w:pPr>
        <w:spacing w:after="240"/>
        <w:ind w:firstLine="1985"/>
        <w:jc w:val="both"/>
        <w:rPr>
          <w:rFonts w:ascii="Century Gothic" w:hAnsi="Century Gothic"/>
        </w:rPr>
      </w:pPr>
    </w:p>
    <w:p w:rsidR="00DA5960" w:rsidRPr="00DA2C57" w:rsidRDefault="00DA5960" w:rsidP="001B74D6">
      <w:pPr>
        <w:spacing w:after="240"/>
        <w:ind w:firstLine="1985"/>
        <w:jc w:val="both"/>
        <w:rPr>
          <w:rFonts w:ascii="Century Gothic" w:hAnsi="Century Gothic"/>
        </w:rPr>
      </w:pPr>
    </w:p>
    <w:p w:rsidR="00DA5960" w:rsidRPr="00DA2C57" w:rsidRDefault="00DA5960" w:rsidP="001B74D6">
      <w:pPr>
        <w:spacing w:after="240"/>
        <w:jc w:val="center"/>
        <w:rPr>
          <w:rFonts w:ascii="Century Gothic" w:hAnsi="Century Gothic"/>
          <w:b/>
        </w:rPr>
      </w:pPr>
      <w:smartTag w:uri="urn:schemas-microsoft-com:office:smarttags" w:element="PersonName">
        <w:smartTagPr>
          <w:attr w:name="ProductID" w:val="LA LEGISLATURA DE"/>
        </w:smartTagPr>
        <w:r w:rsidRPr="00DA2C57">
          <w:rPr>
            <w:rFonts w:ascii="Century Gothic" w:hAnsi="Century Gothic"/>
            <w:b/>
          </w:rPr>
          <w:t>LA LEGISLATURA DE</w:t>
        </w:r>
      </w:smartTag>
      <w:r w:rsidRPr="00DA2C57">
        <w:rPr>
          <w:rFonts w:ascii="Century Gothic" w:hAnsi="Century Gothic"/>
          <w:b/>
        </w:rPr>
        <w:t xml:space="preserve"> </w:t>
      </w:r>
      <w:smartTag w:uri="urn:schemas-microsoft-com:office:smarttags" w:element="PersonName">
        <w:smartTagPr>
          <w:attr w:name="ProductID" w:val="LA PROVINCIA DE"/>
        </w:smartTagPr>
        <w:r w:rsidRPr="00DA2C57">
          <w:rPr>
            <w:rFonts w:ascii="Century Gothic" w:hAnsi="Century Gothic"/>
            <w:b/>
          </w:rPr>
          <w:t>LA PROVINCIA DE</w:t>
        </w:r>
      </w:smartTag>
      <w:r w:rsidRPr="00DA2C57">
        <w:rPr>
          <w:rFonts w:ascii="Century Gothic" w:hAnsi="Century Gothic"/>
          <w:b/>
        </w:rPr>
        <w:t xml:space="preserve"> ENTRE RIOS SANCIONA CON FUERZA DE</w:t>
      </w:r>
    </w:p>
    <w:p w:rsidR="00DA5960" w:rsidRPr="00DA2C57" w:rsidRDefault="00DA5960" w:rsidP="001B74D6">
      <w:pPr>
        <w:spacing w:after="240"/>
        <w:ind w:firstLine="1985"/>
        <w:jc w:val="center"/>
        <w:rPr>
          <w:rFonts w:ascii="Century Gothic" w:hAnsi="Century Gothic"/>
          <w:b/>
        </w:rPr>
      </w:pPr>
    </w:p>
    <w:p w:rsidR="00DA5960" w:rsidRPr="00DA2C57" w:rsidRDefault="00DA5960" w:rsidP="001B74D6">
      <w:pPr>
        <w:spacing w:after="240"/>
        <w:jc w:val="center"/>
        <w:rPr>
          <w:rFonts w:ascii="Century Gothic" w:hAnsi="Century Gothic"/>
          <w:b/>
        </w:rPr>
      </w:pPr>
      <w:r w:rsidRPr="00DA2C57">
        <w:rPr>
          <w:rFonts w:ascii="Century Gothic" w:hAnsi="Century Gothic"/>
          <w:b/>
        </w:rPr>
        <w:t>L E Y:</w:t>
      </w:r>
    </w:p>
    <w:p w:rsidR="00DA5960" w:rsidRPr="00DA2C57" w:rsidRDefault="00DA5960" w:rsidP="001B74D6">
      <w:pPr>
        <w:spacing w:after="240"/>
        <w:jc w:val="both"/>
        <w:rPr>
          <w:rFonts w:ascii="Century Gothic" w:hAnsi="Century Gothic"/>
        </w:rPr>
      </w:pPr>
      <w:r w:rsidRPr="00DA2C57">
        <w:rPr>
          <w:rFonts w:ascii="Century Gothic" w:hAnsi="Century Gothic"/>
          <w:b/>
        </w:rPr>
        <w:t>ARTICULO 1º.-</w:t>
      </w:r>
      <w:r w:rsidRPr="00DA2C57">
        <w:rPr>
          <w:rFonts w:ascii="Century Gothic" w:hAnsi="Century Gothic"/>
        </w:rPr>
        <w:t xml:space="preserve"> Modifíquese del artículo 26° de </w:t>
      </w:r>
      <w:smartTag w:uri="urn:schemas-microsoft-com:office:smarttags" w:element="PersonName">
        <w:smartTagPr>
          <w:attr w:name="ProductID" w:val="LA LEY N"/>
        </w:smartTagPr>
        <w:r w:rsidRPr="00DA2C57">
          <w:rPr>
            <w:rFonts w:ascii="Century Gothic" w:hAnsi="Century Gothic"/>
          </w:rPr>
          <w:t xml:space="preserve">la Ley </w:t>
        </w:r>
        <w:proofErr w:type="spellStart"/>
        <w:r w:rsidRPr="00DA2C57">
          <w:rPr>
            <w:rFonts w:ascii="Century Gothic" w:hAnsi="Century Gothic"/>
          </w:rPr>
          <w:t>N</w:t>
        </w:r>
      </w:smartTag>
      <w:r w:rsidRPr="00DA2C57">
        <w:rPr>
          <w:rFonts w:ascii="Century Gothic" w:hAnsi="Century Gothic"/>
        </w:rPr>
        <w:t>°</w:t>
      </w:r>
      <w:proofErr w:type="spellEnd"/>
      <w:r w:rsidRPr="00DA2C57">
        <w:rPr>
          <w:rFonts w:ascii="Century Gothic" w:hAnsi="Century Gothic"/>
        </w:rPr>
        <w:t xml:space="preserve"> 10.269, el que quedará redactado de la siguiente manera:</w:t>
      </w:r>
    </w:p>
    <w:p w:rsidR="00DA5960" w:rsidRPr="00DA2C57" w:rsidRDefault="00DA5960" w:rsidP="001B74D6">
      <w:pPr>
        <w:spacing w:after="240"/>
        <w:ind w:left="567"/>
        <w:jc w:val="both"/>
        <w:rPr>
          <w:rFonts w:ascii="Century Gothic" w:hAnsi="Century Gothic"/>
          <w:i/>
        </w:rPr>
      </w:pPr>
      <w:r w:rsidRPr="00DA2C57">
        <w:rPr>
          <w:rFonts w:ascii="Century Gothic" w:hAnsi="Century Gothic"/>
          <w:i/>
        </w:rPr>
        <w:t xml:space="preserve">“ARTÍCULO 26°. - </w:t>
      </w:r>
      <w:r>
        <w:rPr>
          <w:rFonts w:ascii="Century Gothic" w:hAnsi="Century Gothic"/>
          <w:i/>
        </w:rPr>
        <w:t>L</w:t>
      </w:r>
      <w:r w:rsidRPr="00DA2C57">
        <w:rPr>
          <w:rFonts w:ascii="Century Gothic" w:hAnsi="Century Gothic"/>
          <w:i/>
        </w:rPr>
        <w:t>a administración del Fondo de Inversiones de Entre Ríos quedará a cargo del Ministerio de Producción,</w:t>
      </w:r>
      <w:r>
        <w:rPr>
          <w:rFonts w:ascii="Century Gothic" w:hAnsi="Century Gothic"/>
          <w:i/>
        </w:rPr>
        <w:t xml:space="preserve"> Secretaría Ministerial u organismo de mayor jerarquía con competencia específica en la materia,</w:t>
      </w:r>
      <w:r w:rsidRPr="00DA2C57">
        <w:rPr>
          <w:rFonts w:ascii="Century Gothic" w:hAnsi="Century Gothic"/>
          <w:i/>
        </w:rPr>
        <w:t xml:space="preserve"> quien será la autoridad de aplicación de la ley </w:t>
      </w:r>
      <w:proofErr w:type="spellStart"/>
      <w:r w:rsidRPr="00DA2C57">
        <w:rPr>
          <w:rFonts w:ascii="Century Gothic" w:hAnsi="Century Gothic"/>
          <w:i/>
        </w:rPr>
        <w:t>N°</w:t>
      </w:r>
      <w:proofErr w:type="spellEnd"/>
      <w:r w:rsidRPr="00DA2C57">
        <w:rPr>
          <w:rFonts w:ascii="Century Gothic" w:hAnsi="Century Gothic"/>
          <w:i/>
        </w:rPr>
        <w:t xml:space="preserve"> 8</w:t>
      </w:r>
      <w:r>
        <w:rPr>
          <w:rFonts w:ascii="Century Gothic" w:hAnsi="Century Gothic"/>
          <w:i/>
        </w:rPr>
        <w:t>.</w:t>
      </w:r>
      <w:r w:rsidRPr="00DA2C57">
        <w:rPr>
          <w:rFonts w:ascii="Century Gothic" w:hAnsi="Century Gothic"/>
          <w:i/>
        </w:rPr>
        <w:t>975, estableciéndose que los recursos financieros que se originen por el recupero de los créditos que conforman su cartera, serán destinados al cumplimiento de los objetivos de creación del Fondo previsto en el</w:t>
      </w:r>
      <w:r>
        <w:rPr>
          <w:rFonts w:ascii="Century Gothic" w:hAnsi="Century Gothic"/>
          <w:i/>
        </w:rPr>
        <w:t xml:space="preserve"> artículo 1° de la Ley </w:t>
      </w:r>
      <w:proofErr w:type="spellStart"/>
      <w:r>
        <w:rPr>
          <w:rFonts w:ascii="Century Gothic" w:hAnsi="Century Gothic"/>
          <w:i/>
        </w:rPr>
        <w:t>N°</w:t>
      </w:r>
      <w:proofErr w:type="spellEnd"/>
      <w:r>
        <w:rPr>
          <w:rFonts w:ascii="Century Gothic" w:hAnsi="Century Gothic"/>
          <w:i/>
        </w:rPr>
        <w:t xml:space="preserve"> 8.975, y autorizándose al Poder Ejecutivo a disponer de la utilización de los fondos existentes en las cuentas bancarias del Fondo de Inversiones de Entre Ríos</w:t>
      </w:r>
      <w:r w:rsidRPr="00DA2C57">
        <w:rPr>
          <w:rFonts w:ascii="Century Gothic" w:hAnsi="Century Gothic"/>
          <w:i/>
        </w:rPr>
        <w:t>”.</w:t>
      </w:r>
    </w:p>
    <w:p w:rsidR="00DA5960" w:rsidRPr="00DA2C57" w:rsidRDefault="00DA5960" w:rsidP="001B74D6">
      <w:pPr>
        <w:spacing w:after="240"/>
        <w:jc w:val="both"/>
        <w:rPr>
          <w:rFonts w:ascii="Century Gothic" w:hAnsi="Century Gothic"/>
        </w:rPr>
      </w:pPr>
      <w:r w:rsidRPr="00DA2C57">
        <w:rPr>
          <w:rFonts w:ascii="Century Gothic" w:hAnsi="Century Gothic"/>
          <w:b/>
        </w:rPr>
        <w:t>ARTICULO 2º.-</w:t>
      </w:r>
      <w:r w:rsidRPr="00DA2C57">
        <w:rPr>
          <w:rFonts w:ascii="Century Gothic" w:hAnsi="Century Gothic"/>
        </w:rPr>
        <w:t xml:space="preserve">  De forma. -</w:t>
      </w:r>
    </w:p>
    <w:p w:rsidR="00DA5960" w:rsidRPr="00DA2C57" w:rsidRDefault="00DA5960" w:rsidP="001B74D6">
      <w:pPr>
        <w:spacing w:after="240"/>
        <w:ind w:firstLine="1985"/>
        <w:jc w:val="both"/>
        <w:rPr>
          <w:rFonts w:ascii="Century Gothic" w:hAnsi="Century Gothic"/>
        </w:rPr>
      </w:pPr>
    </w:p>
    <w:p w:rsidR="00DA5960" w:rsidRPr="00DA2C57" w:rsidRDefault="00DA5960" w:rsidP="001B74D6">
      <w:pPr>
        <w:spacing w:after="240"/>
        <w:ind w:firstLine="1985"/>
        <w:jc w:val="both"/>
        <w:rPr>
          <w:rFonts w:ascii="Century Gothic" w:hAnsi="Century Gothic"/>
        </w:rPr>
      </w:pPr>
    </w:p>
    <w:p w:rsidR="00DA5960" w:rsidRPr="00DA2C57" w:rsidRDefault="00DA5960" w:rsidP="001B74D6">
      <w:pPr>
        <w:spacing w:after="240"/>
        <w:ind w:firstLine="1985"/>
        <w:jc w:val="both"/>
        <w:rPr>
          <w:rFonts w:ascii="Century Gothic" w:hAnsi="Century Gothic"/>
        </w:rPr>
      </w:pPr>
      <w:bookmarkStart w:id="0" w:name="_GoBack"/>
      <w:bookmarkEnd w:id="0"/>
    </w:p>
    <w:sectPr w:rsidR="00DA5960" w:rsidRPr="00DA2C57" w:rsidSect="00A70D03">
      <w:pgSz w:w="11907" w:h="16839" w:code="9"/>
      <w:pgMar w:top="1701" w:right="1701" w:bottom="184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1C1" w:rsidRDefault="005771C1" w:rsidP="00233727">
      <w:pPr>
        <w:spacing w:line="240" w:lineRule="auto"/>
      </w:pPr>
      <w:r>
        <w:separator/>
      </w:r>
    </w:p>
  </w:endnote>
  <w:endnote w:type="continuationSeparator" w:id="0">
    <w:p w:rsidR="005771C1" w:rsidRDefault="005771C1" w:rsidP="00233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1C1" w:rsidRDefault="005771C1" w:rsidP="00233727">
      <w:pPr>
        <w:spacing w:line="240" w:lineRule="auto"/>
      </w:pPr>
      <w:r>
        <w:separator/>
      </w:r>
    </w:p>
  </w:footnote>
  <w:footnote w:type="continuationSeparator" w:id="0">
    <w:p w:rsidR="005771C1" w:rsidRDefault="005771C1" w:rsidP="002337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E1997"/>
    <w:multiLevelType w:val="hybridMultilevel"/>
    <w:tmpl w:val="0E4CF6FA"/>
    <w:lvl w:ilvl="0" w:tplc="9880F2AA">
      <w:start w:val="1"/>
      <w:numFmt w:val="lowerLetter"/>
      <w:lvlText w:val="%1)"/>
      <w:lvlJc w:val="left"/>
      <w:pPr>
        <w:ind w:left="1416" w:hanging="708"/>
      </w:pPr>
      <w:rPr>
        <w:rFonts w:cs="Times New Roman" w:hint="default"/>
      </w:rPr>
    </w:lvl>
    <w:lvl w:ilvl="1" w:tplc="2C0A0019" w:tentative="1">
      <w:start w:val="1"/>
      <w:numFmt w:val="lowerLetter"/>
      <w:lvlText w:val="%2."/>
      <w:lvlJc w:val="left"/>
      <w:pPr>
        <w:ind w:left="1788" w:hanging="360"/>
      </w:pPr>
      <w:rPr>
        <w:rFonts w:cs="Times New Roman"/>
      </w:rPr>
    </w:lvl>
    <w:lvl w:ilvl="2" w:tplc="2C0A001B" w:tentative="1">
      <w:start w:val="1"/>
      <w:numFmt w:val="lowerRoman"/>
      <w:lvlText w:val="%3."/>
      <w:lvlJc w:val="right"/>
      <w:pPr>
        <w:ind w:left="2508" w:hanging="180"/>
      </w:pPr>
      <w:rPr>
        <w:rFonts w:cs="Times New Roman"/>
      </w:rPr>
    </w:lvl>
    <w:lvl w:ilvl="3" w:tplc="2C0A000F" w:tentative="1">
      <w:start w:val="1"/>
      <w:numFmt w:val="decimal"/>
      <w:lvlText w:val="%4."/>
      <w:lvlJc w:val="left"/>
      <w:pPr>
        <w:ind w:left="3228" w:hanging="360"/>
      </w:pPr>
      <w:rPr>
        <w:rFonts w:cs="Times New Roman"/>
      </w:rPr>
    </w:lvl>
    <w:lvl w:ilvl="4" w:tplc="2C0A0019" w:tentative="1">
      <w:start w:val="1"/>
      <w:numFmt w:val="lowerLetter"/>
      <w:lvlText w:val="%5."/>
      <w:lvlJc w:val="left"/>
      <w:pPr>
        <w:ind w:left="3948" w:hanging="360"/>
      </w:pPr>
      <w:rPr>
        <w:rFonts w:cs="Times New Roman"/>
      </w:rPr>
    </w:lvl>
    <w:lvl w:ilvl="5" w:tplc="2C0A001B" w:tentative="1">
      <w:start w:val="1"/>
      <w:numFmt w:val="lowerRoman"/>
      <w:lvlText w:val="%6."/>
      <w:lvlJc w:val="right"/>
      <w:pPr>
        <w:ind w:left="4668" w:hanging="180"/>
      </w:pPr>
      <w:rPr>
        <w:rFonts w:cs="Times New Roman"/>
      </w:rPr>
    </w:lvl>
    <w:lvl w:ilvl="6" w:tplc="2C0A000F" w:tentative="1">
      <w:start w:val="1"/>
      <w:numFmt w:val="decimal"/>
      <w:lvlText w:val="%7."/>
      <w:lvlJc w:val="left"/>
      <w:pPr>
        <w:ind w:left="5388" w:hanging="360"/>
      </w:pPr>
      <w:rPr>
        <w:rFonts w:cs="Times New Roman"/>
      </w:rPr>
    </w:lvl>
    <w:lvl w:ilvl="7" w:tplc="2C0A0019" w:tentative="1">
      <w:start w:val="1"/>
      <w:numFmt w:val="lowerLetter"/>
      <w:lvlText w:val="%8."/>
      <w:lvlJc w:val="left"/>
      <w:pPr>
        <w:ind w:left="6108" w:hanging="360"/>
      </w:pPr>
      <w:rPr>
        <w:rFonts w:cs="Times New Roman"/>
      </w:rPr>
    </w:lvl>
    <w:lvl w:ilvl="8" w:tplc="2C0A001B" w:tentative="1">
      <w:start w:val="1"/>
      <w:numFmt w:val="lowerRoman"/>
      <w:lvlText w:val="%9."/>
      <w:lvlJc w:val="right"/>
      <w:pPr>
        <w:ind w:left="6828" w:hanging="180"/>
      </w:pPr>
      <w:rPr>
        <w:rFonts w:cs="Times New Roman"/>
      </w:rPr>
    </w:lvl>
  </w:abstractNum>
  <w:abstractNum w:abstractNumId="1" w15:restartNumberingAfterBreak="0">
    <w:nsid w:val="108A264A"/>
    <w:multiLevelType w:val="hybridMultilevel"/>
    <w:tmpl w:val="A6D2483A"/>
    <w:lvl w:ilvl="0" w:tplc="278CAFD8">
      <w:start w:val="1"/>
      <w:numFmt w:val="lowerLetter"/>
      <w:lvlText w:val="%1)"/>
      <w:lvlJc w:val="left"/>
      <w:pPr>
        <w:tabs>
          <w:tab w:val="num" w:pos="1380"/>
        </w:tabs>
        <w:ind w:left="1380" w:hanging="1020"/>
      </w:pPr>
      <w:rPr>
        <w:rFonts w:ascii="Century Gothic" w:eastAsia="Times New Roman" w:hAnsi="Century Gothic" w:cs="Times New Roman" w:hint="default"/>
      </w:rPr>
    </w:lvl>
    <w:lvl w:ilvl="1" w:tplc="0C0A0019" w:tentative="1">
      <w:start w:val="1"/>
      <w:numFmt w:val="lowerLetter"/>
      <w:lvlText w:val="%2."/>
      <w:lvlJc w:val="left"/>
      <w:pPr>
        <w:tabs>
          <w:tab w:val="num" w:pos="384"/>
        </w:tabs>
        <w:ind w:left="384" w:hanging="360"/>
      </w:pPr>
      <w:rPr>
        <w:rFonts w:cs="Times New Roman"/>
      </w:rPr>
    </w:lvl>
    <w:lvl w:ilvl="2" w:tplc="0C0A001B" w:tentative="1">
      <w:start w:val="1"/>
      <w:numFmt w:val="lowerRoman"/>
      <w:lvlText w:val="%3."/>
      <w:lvlJc w:val="right"/>
      <w:pPr>
        <w:tabs>
          <w:tab w:val="num" w:pos="1104"/>
        </w:tabs>
        <w:ind w:left="1104" w:hanging="180"/>
      </w:pPr>
      <w:rPr>
        <w:rFonts w:cs="Times New Roman"/>
      </w:rPr>
    </w:lvl>
    <w:lvl w:ilvl="3" w:tplc="0C0A000F" w:tentative="1">
      <w:start w:val="1"/>
      <w:numFmt w:val="decimal"/>
      <w:lvlText w:val="%4."/>
      <w:lvlJc w:val="left"/>
      <w:pPr>
        <w:tabs>
          <w:tab w:val="num" w:pos="1824"/>
        </w:tabs>
        <w:ind w:left="1824" w:hanging="360"/>
      </w:pPr>
      <w:rPr>
        <w:rFonts w:cs="Times New Roman"/>
      </w:rPr>
    </w:lvl>
    <w:lvl w:ilvl="4" w:tplc="0C0A0019" w:tentative="1">
      <w:start w:val="1"/>
      <w:numFmt w:val="lowerLetter"/>
      <w:lvlText w:val="%5."/>
      <w:lvlJc w:val="left"/>
      <w:pPr>
        <w:tabs>
          <w:tab w:val="num" w:pos="2544"/>
        </w:tabs>
        <w:ind w:left="2544" w:hanging="360"/>
      </w:pPr>
      <w:rPr>
        <w:rFonts w:cs="Times New Roman"/>
      </w:rPr>
    </w:lvl>
    <w:lvl w:ilvl="5" w:tplc="0C0A001B" w:tentative="1">
      <w:start w:val="1"/>
      <w:numFmt w:val="lowerRoman"/>
      <w:lvlText w:val="%6."/>
      <w:lvlJc w:val="right"/>
      <w:pPr>
        <w:tabs>
          <w:tab w:val="num" w:pos="3264"/>
        </w:tabs>
        <w:ind w:left="3264" w:hanging="180"/>
      </w:pPr>
      <w:rPr>
        <w:rFonts w:cs="Times New Roman"/>
      </w:rPr>
    </w:lvl>
    <w:lvl w:ilvl="6" w:tplc="0C0A000F" w:tentative="1">
      <w:start w:val="1"/>
      <w:numFmt w:val="decimal"/>
      <w:lvlText w:val="%7."/>
      <w:lvlJc w:val="left"/>
      <w:pPr>
        <w:tabs>
          <w:tab w:val="num" w:pos="3984"/>
        </w:tabs>
        <w:ind w:left="3984" w:hanging="360"/>
      </w:pPr>
      <w:rPr>
        <w:rFonts w:cs="Times New Roman"/>
      </w:rPr>
    </w:lvl>
    <w:lvl w:ilvl="7" w:tplc="0C0A0019" w:tentative="1">
      <w:start w:val="1"/>
      <w:numFmt w:val="lowerLetter"/>
      <w:lvlText w:val="%8."/>
      <w:lvlJc w:val="left"/>
      <w:pPr>
        <w:tabs>
          <w:tab w:val="num" w:pos="4704"/>
        </w:tabs>
        <w:ind w:left="4704" w:hanging="360"/>
      </w:pPr>
      <w:rPr>
        <w:rFonts w:cs="Times New Roman"/>
      </w:rPr>
    </w:lvl>
    <w:lvl w:ilvl="8" w:tplc="0C0A001B" w:tentative="1">
      <w:start w:val="1"/>
      <w:numFmt w:val="lowerRoman"/>
      <w:lvlText w:val="%9."/>
      <w:lvlJc w:val="right"/>
      <w:pPr>
        <w:tabs>
          <w:tab w:val="num" w:pos="5424"/>
        </w:tabs>
        <w:ind w:left="5424" w:hanging="180"/>
      </w:pPr>
      <w:rPr>
        <w:rFonts w:cs="Times New Roman"/>
      </w:rPr>
    </w:lvl>
  </w:abstractNum>
  <w:abstractNum w:abstractNumId="2" w15:restartNumberingAfterBreak="0">
    <w:nsid w:val="19F75A77"/>
    <w:multiLevelType w:val="hybridMultilevel"/>
    <w:tmpl w:val="A9B628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64AC6"/>
    <w:multiLevelType w:val="hybridMultilevel"/>
    <w:tmpl w:val="9BD0FC92"/>
    <w:lvl w:ilvl="0" w:tplc="2C0A0017">
      <w:start w:val="1"/>
      <w:numFmt w:val="lowerLetter"/>
      <w:lvlText w:val="%1)"/>
      <w:lvlJc w:val="left"/>
      <w:pPr>
        <w:ind w:left="1428" w:hanging="360"/>
      </w:pPr>
      <w:rPr>
        <w:rFonts w:cs="Times New Roman"/>
      </w:rPr>
    </w:lvl>
    <w:lvl w:ilvl="1" w:tplc="2C0A0019" w:tentative="1">
      <w:start w:val="1"/>
      <w:numFmt w:val="lowerLetter"/>
      <w:lvlText w:val="%2."/>
      <w:lvlJc w:val="left"/>
      <w:pPr>
        <w:ind w:left="2148" w:hanging="360"/>
      </w:pPr>
      <w:rPr>
        <w:rFonts w:cs="Times New Roman"/>
      </w:rPr>
    </w:lvl>
    <w:lvl w:ilvl="2" w:tplc="2C0A001B" w:tentative="1">
      <w:start w:val="1"/>
      <w:numFmt w:val="lowerRoman"/>
      <w:lvlText w:val="%3."/>
      <w:lvlJc w:val="right"/>
      <w:pPr>
        <w:ind w:left="2868" w:hanging="180"/>
      </w:pPr>
      <w:rPr>
        <w:rFonts w:cs="Times New Roman"/>
      </w:rPr>
    </w:lvl>
    <w:lvl w:ilvl="3" w:tplc="2C0A000F" w:tentative="1">
      <w:start w:val="1"/>
      <w:numFmt w:val="decimal"/>
      <w:lvlText w:val="%4."/>
      <w:lvlJc w:val="left"/>
      <w:pPr>
        <w:ind w:left="3588" w:hanging="360"/>
      </w:pPr>
      <w:rPr>
        <w:rFonts w:cs="Times New Roman"/>
      </w:rPr>
    </w:lvl>
    <w:lvl w:ilvl="4" w:tplc="2C0A0019" w:tentative="1">
      <w:start w:val="1"/>
      <w:numFmt w:val="lowerLetter"/>
      <w:lvlText w:val="%5."/>
      <w:lvlJc w:val="left"/>
      <w:pPr>
        <w:ind w:left="4308" w:hanging="360"/>
      </w:pPr>
      <w:rPr>
        <w:rFonts w:cs="Times New Roman"/>
      </w:rPr>
    </w:lvl>
    <w:lvl w:ilvl="5" w:tplc="2C0A001B" w:tentative="1">
      <w:start w:val="1"/>
      <w:numFmt w:val="lowerRoman"/>
      <w:lvlText w:val="%6."/>
      <w:lvlJc w:val="right"/>
      <w:pPr>
        <w:ind w:left="5028" w:hanging="180"/>
      </w:pPr>
      <w:rPr>
        <w:rFonts w:cs="Times New Roman"/>
      </w:rPr>
    </w:lvl>
    <w:lvl w:ilvl="6" w:tplc="2C0A000F" w:tentative="1">
      <w:start w:val="1"/>
      <w:numFmt w:val="decimal"/>
      <w:lvlText w:val="%7."/>
      <w:lvlJc w:val="left"/>
      <w:pPr>
        <w:ind w:left="5748" w:hanging="360"/>
      </w:pPr>
      <w:rPr>
        <w:rFonts w:cs="Times New Roman"/>
      </w:rPr>
    </w:lvl>
    <w:lvl w:ilvl="7" w:tplc="2C0A0019" w:tentative="1">
      <w:start w:val="1"/>
      <w:numFmt w:val="lowerLetter"/>
      <w:lvlText w:val="%8."/>
      <w:lvlJc w:val="left"/>
      <w:pPr>
        <w:ind w:left="6468" w:hanging="360"/>
      </w:pPr>
      <w:rPr>
        <w:rFonts w:cs="Times New Roman"/>
      </w:rPr>
    </w:lvl>
    <w:lvl w:ilvl="8" w:tplc="2C0A001B" w:tentative="1">
      <w:start w:val="1"/>
      <w:numFmt w:val="lowerRoman"/>
      <w:lvlText w:val="%9."/>
      <w:lvlJc w:val="right"/>
      <w:pPr>
        <w:ind w:left="7188" w:hanging="180"/>
      </w:pPr>
      <w:rPr>
        <w:rFonts w:cs="Times New Roman"/>
      </w:rPr>
    </w:lvl>
  </w:abstractNum>
  <w:abstractNum w:abstractNumId="4" w15:restartNumberingAfterBreak="0">
    <w:nsid w:val="51237DA0"/>
    <w:multiLevelType w:val="hybridMultilevel"/>
    <w:tmpl w:val="53EAA8C8"/>
    <w:lvl w:ilvl="0" w:tplc="2C0A0017">
      <w:start w:val="1"/>
      <w:numFmt w:val="lowerLetter"/>
      <w:lvlText w:val="%1)"/>
      <w:lvlJc w:val="left"/>
      <w:pPr>
        <w:ind w:left="2484" w:hanging="360"/>
      </w:pPr>
      <w:rPr>
        <w:rFonts w:cs="Times New Roman"/>
      </w:rPr>
    </w:lvl>
    <w:lvl w:ilvl="1" w:tplc="2C0A0019" w:tentative="1">
      <w:start w:val="1"/>
      <w:numFmt w:val="lowerLetter"/>
      <w:lvlText w:val="%2."/>
      <w:lvlJc w:val="left"/>
      <w:pPr>
        <w:ind w:left="3204" w:hanging="360"/>
      </w:pPr>
      <w:rPr>
        <w:rFonts w:cs="Times New Roman"/>
      </w:rPr>
    </w:lvl>
    <w:lvl w:ilvl="2" w:tplc="2C0A001B" w:tentative="1">
      <w:start w:val="1"/>
      <w:numFmt w:val="lowerRoman"/>
      <w:lvlText w:val="%3."/>
      <w:lvlJc w:val="right"/>
      <w:pPr>
        <w:ind w:left="3924" w:hanging="180"/>
      </w:pPr>
      <w:rPr>
        <w:rFonts w:cs="Times New Roman"/>
      </w:rPr>
    </w:lvl>
    <w:lvl w:ilvl="3" w:tplc="2C0A000F" w:tentative="1">
      <w:start w:val="1"/>
      <w:numFmt w:val="decimal"/>
      <w:lvlText w:val="%4."/>
      <w:lvlJc w:val="left"/>
      <w:pPr>
        <w:ind w:left="4644" w:hanging="360"/>
      </w:pPr>
      <w:rPr>
        <w:rFonts w:cs="Times New Roman"/>
      </w:rPr>
    </w:lvl>
    <w:lvl w:ilvl="4" w:tplc="2C0A0019" w:tentative="1">
      <w:start w:val="1"/>
      <w:numFmt w:val="lowerLetter"/>
      <w:lvlText w:val="%5."/>
      <w:lvlJc w:val="left"/>
      <w:pPr>
        <w:ind w:left="5364" w:hanging="360"/>
      </w:pPr>
      <w:rPr>
        <w:rFonts w:cs="Times New Roman"/>
      </w:rPr>
    </w:lvl>
    <w:lvl w:ilvl="5" w:tplc="2C0A001B" w:tentative="1">
      <w:start w:val="1"/>
      <w:numFmt w:val="lowerRoman"/>
      <w:lvlText w:val="%6."/>
      <w:lvlJc w:val="right"/>
      <w:pPr>
        <w:ind w:left="6084" w:hanging="180"/>
      </w:pPr>
      <w:rPr>
        <w:rFonts w:cs="Times New Roman"/>
      </w:rPr>
    </w:lvl>
    <w:lvl w:ilvl="6" w:tplc="2C0A000F" w:tentative="1">
      <w:start w:val="1"/>
      <w:numFmt w:val="decimal"/>
      <w:lvlText w:val="%7."/>
      <w:lvlJc w:val="left"/>
      <w:pPr>
        <w:ind w:left="6804" w:hanging="360"/>
      </w:pPr>
      <w:rPr>
        <w:rFonts w:cs="Times New Roman"/>
      </w:rPr>
    </w:lvl>
    <w:lvl w:ilvl="7" w:tplc="2C0A0019" w:tentative="1">
      <w:start w:val="1"/>
      <w:numFmt w:val="lowerLetter"/>
      <w:lvlText w:val="%8."/>
      <w:lvlJc w:val="left"/>
      <w:pPr>
        <w:ind w:left="7524" w:hanging="360"/>
      </w:pPr>
      <w:rPr>
        <w:rFonts w:cs="Times New Roman"/>
      </w:rPr>
    </w:lvl>
    <w:lvl w:ilvl="8" w:tplc="2C0A001B" w:tentative="1">
      <w:start w:val="1"/>
      <w:numFmt w:val="lowerRoman"/>
      <w:lvlText w:val="%9."/>
      <w:lvlJc w:val="right"/>
      <w:pPr>
        <w:ind w:left="8244" w:hanging="180"/>
      </w:pPr>
      <w:rPr>
        <w:rFonts w:cs="Times New Roman"/>
      </w:rPr>
    </w:lvl>
  </w:abstractNum>
  <w:abstractNum w:abstractNumId="5" w15:restartNumberingAfterBreak="0">
    <w:nsid w:val="5CBE1D05"/>
    <w:multiLevelType w:val="hybridMultilevel"/>
    <w:tmpl w:val="0C7402F2"/>
    <w:lvl w:ilvl="0" w:tplc="2C0A0013">
      <w:start w:val="1"/>
      <w:numFmt w:val="upperRoman"/>
      <w:lvlText w:val="%1."/>
      <w:lvlJc w:val="righ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27"/>
    <w:rsid w:val="00010629"/>
    <w:rsid w:val="000228F0"/>
    <w:rsid w:val="00026D16"/>
    <w:rsid w:val="00032103"/>
    <w:rsid w:val="00051A89"/>
    <w:rsid w:val="00095BE9"/>
    <w:rsid w:val="000B2E01"/>
    <w:rsid w:val="000D3695"/>
    <w:rsid w:val="000D3D1D"/>
    <w:rsid w:val="000D57AA"/>
    <w:rsid w:val="000F61B4"/>
    <w:rsid w:val="00110CDF"/>
    <w:rsid w:val="00131EFB"/>
    <w:rsid w:val="00160054"/>
    <w:rsid w:val="00162FD5"/>
    <w:rsid w:val="001A7425"/>
    <w:rsid w:val="001B54B3"/>
    <w:rsid w:val="001B74D6"/>
    <w:rsid w:val="00230B48"/>
    <w:rsid w:val="00233727"/>
    <w:rsid w:val="00244719"/>
    <w:rsid w:val="00250D37"/>
    <w:rsid w:val="00254EE0"/>
    <w:rsid w:val="00264BA3"/>
    <w:rsid w:val="00264EB7"/>
    <w:rsid w:val="002A596C"/>
    <w:rsid w:val="002B09F5"/>
    <w:rsid w:val="00333ADF"/>
    <w:rsid w:val="0034040D"/>
    <w:rsid w:val="00341CA2"/>
    <w:rsid w:val="00350CA4"/>
    <w:rsid w:val="003536BA"/>
    <w:rsid w:val="00354B16"/>
    <w:rsid w:val="003607A6"/>
    <w:rsid w:val="003650F5"/>
    <w:rsid w:val="00365A70"/>
    <w:rsid w:val="003717B7"/>
    <w:rsid w:val="003D10E5"/>
    <w:rsid w:val="003E2E9C"/>
    <w:rsid w:val="003E7467"/>
    <w:rsid w:val="00420EDB"/>
    <w:rsid w:val="0042563E"/>
    <w:rsid w:val="00431BE5"/>
    <w:rsid w:val="00432F01"/>
    <w:rsid w:val="00435AD2"/>
    <w:rsid w:val="00467DB3"/>
    <w:rsid w:val="00492933"/>
    <w:rsid w:val="004B61BC"/>
    <w:rsid w:val="004C4D02"/>
    <w:rsid w:val="0050647D"/>
    <w:rsid w:val="005074FF"/>
    <w:rsid w:val="00531BE2"/>
    <w:rsid w:val="0055001F"/>
    <w:rsid w:val="005508A3"/>
    <w:rsid w:val="0057518F"/>
    <w:rsid w:val="00576CC1"/>
    <w:rsid w:val="005771C1"/>
    <w:rsid w:val="005829AC"/>
    <w:rsid w:val="005919AF"/>
    <w:rsid w:val="005C2207"/>
    <w:rsid w:val="005E2CBE"/>
    <w:rsid w:val="006121EF"/>
    <w:rsid w:val="006263D0"/>
    <w:rsid w:val="006324A0"/>
    <w:rsid w:val="00641643"/>
    <w:rsid w:val="00647E29"/>
    <w:rsid w:val="0068207E"/>
    <w:rsid w:val="00684A9D"/>
    <w:rsid w:val="006A095C"/>
    <w:rsid w:val="00711BCB"/>
    <w:rsid w:val="007350DE"/>
    <w:rsid w:val="007C2D16"/>
    <w:rsid w:val="00826201"/>
    <w:rsid w:val="0083571E"/>
    <w:rsid w:val="0086196E"/>
    <w:rsid w:val="00873F37"/>
    <w:rsid w:val="00874D6E"/>
    <w:rsid w:val="00895757"/>
    <w:rsid w:val="008A2D2A"/>
    <w:rsid w:val="008B3390"/>
    <w:rsid w:val="008E3BFC"/>
    <w:rsid w:val="009539EB"/>
    <w:rsid w:val="00955CBD"/>
    <w:rsid w:val="00956226"/>
    <w:rsid w:val="009B6799"/>
    <w:rsid w:val="009C60B7"/>
    <w:rsid w:val="009C7C6C"/>
    <w:rsid w:val="009D2DE4"/>
    <w:rsid w:val="009D7FF3"/>
    <w:rsid w:val="00A065B6"/>
    <w:rsid w:val="00A233C3"/>
    <w:rsid w:val="00A41163"/>
    <w:rsid w:val="00A47E2B"/>
    <w:rsid w:val="00A70D03"/>
    <w:rsid w:val="00AA75D7"/>
    <w:rsid w:val="00AE4BC7"/>
    <w:rsid w:val="00AE64E1"/>
    <w:rsid w:val="00AF4CF9"/>
    <w:rsid w:val="00B00E5F"/>
    <w:rsid w:val="00B20427"/>
    <w:rsid w:val="00B25393"/>
    <w:rsid w:val="00B3079B"/>
    <w:rsid w:val="00B33F9F"/>
    <w:rsid w:val="00B60931"/>
    <w:rsid w:val="00B631D6"/>
    <w:rsid w:val="00B91341"/>
    <w:rsid w:val="00BA7922"/>
    <w:rsid w:val="00BB5A5D"/>
    <w:rsid w:val="00BD225E"/>
    <w:rsid w:val="00BE7B9E"/>
    <w:rsid w:val="00C55CBB"/>
    <w:rsid w:val="00C71888"/>
    <w:rsid w:val="00C77C63"/>
    <w:rsid w:val="00C8440E"/>
    <w:rsid w:val="00C84B74"/>
    <w:rsid w:val="00CC0561"/>
    <w:rsid w:val="00CC7164"/>
    <w:rsid w:val="00CD43A8"/>
    <w:rsid w:val="00CE436C"/>
    <w:rsid w:val="00CF7079"/>
    <w:rsid w:val="00D0551E"/>
    <w:rsid w:val="00D20E17"/>
    <w:rsid w:val="00D41936"/>
    <w:rsid w:val="00D54F0E"/>
    <w:rsid w:val="00D61563"/>
    <w:rsid w:val="00D70C08"/>
    <w:rsid w:val="00DA2C57"/>
    <w:rsid w:val="00DA5960"/>
    <w:rsid w:val="00E2023C"/>
    <w:rsid w:val="00E4765F"/>
    <w:rsid w:val="00E62CB4"/>
    <w:rsid w:val="00E7799B"/>
    <w:rsid w:val="00E9544B"/>
    <w:rsid w:val="00ED0D62"/>
    <w:rsid w:val="00ED24CF"/>
    <w:rsid w:val="00ED35DE"/>
    <w:rsid w:val="00ED3F30"/>
    <w:rsid w:val="00F05C90"/>
    <w:rsid w:val="00F232BD"/>
    <w:rsid w:val="00F2487D"/>
    <w:rsid w:val="00F27E83"/>
    <w:rsid w:val="00FD3E62"/>
    <w:rsid w:val="00FF14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EBCC2E07-90EF-41AF-9B14-153DBC4E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727"/>
    <w:pPr>
      <w:spacing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33727"/>
    <w:pPr>
      <w:tabs>
        <w:tab w:val="center" w:pos="4419"/>
        <w:tab w:val="right" w:pos="8838"/>
      </w:tabs>
      <w:spacing w:line="240" w:lineRule="auto"/>
    </w:pPr>
  </w:style>
  <w:style w:type="character" w:customStyle="1" w:styleId="EncabezadoCar">
    <w:name w:val="Encabezado Car"/>
    <w:link w:val="Encabezado"/>
    <w:uiPriority w:val="99"/>
    <w:locked/>
    <w:rsid w:val="00233727"/>
    <w:rPr>
      <w:rFonts w:cs="Times New Roman"/>
    </w:rPr>
  </w:style>
  <w:style w:type="paragraph" w:styleId="Piedepgina">
    <w:name w:val="footer"/>
    <w:basedOn w:val="Normal"/>
    <w:link w:val="PiedepginaCar"/>
    <w:uiPriority w:val="99"/>
    <w:rsid w:val="00233727"/>
    <w:pPr>
      <w:tabs>
        <w:tab w:val="center" w:pos="4419"/>
        <w:tab w:val="right" w:pos="8838"/>
      </w:tabs>
      <w:spacing w:line="240" w:lineRule="auto"/>
    </w:pPr>
  </w:style>
  <w:style w:type="character" w:customStyle="1" w:styleId="PiedepginaCar">
    <w:name w:val="Pie de página Car"/>
    <w:link w:val="Piedepgina"/>
    <w:uiPriority w:val="99"/>
    <w:locked/>
    <w:rsid w:val="00233727"/>
    <w:rPr>
      <w:rFonts w:cs="Times New Roman"/>
    </w:rPr>
  </w:style>
  <w:style w:type="paragraph" w:styleId="Prrafodelista">
    <w:name w:val="List Paragraph"/>
    <w:basedOn w:val="Normal"/>
    <w:uiPriority w:val="99"/>
    <w:qFormat/>
    <w:rsid w:val="000B2E01"/>
    <w:pPr>
      <w:ind w:left="720"/>
      <w:contextualSpacing/>
    </w:pPr>
  </w:style>
  <w:style w:type="paragraph" w:styleId="Textodeglobo">
    <w:name w:val="Balloon Text"/>
    <w:basedOn w:val="Normal"/>
    <w:link w:val="TextodegloboCar"/>
    <w:uiPriority w:val="99"/>
    <w:semiHidden/>
    <w:rsid w:val="00A065B6"/>
    <w:pPr>
      <w:spacing w:line="240" w:lineRule="auto"/>
    </w:pPr>
    <w:rPr>
      <w:rFonts w:ascii="Tahoma" w:hAnsi="Tahoma" w:cs="Tahoma"/>
      <w:sz w:val="16"/>
      <w:szCs w:val="16"/>
    </w:rPr>
  </w:style>
  <w:style w:type="character" w:customStyle="1" w:styleId="TextodegloboCar">
    <w:name w:val="Texto de globo Car"/>
    <w:link w:val="Textodeglobo"/>
    <w:uiPriority w:val="99"/>
    <w:semiHidden/>
    <w:locked/>
    <w:rsid w:val="00A065B6"/>
    <w:rPr>
      <w:rFonts w:ascii="Tahoma" w:hAnsi="Tahoma" w:cs="Tahoma"/>
      <w:sz w:val="16"/>
      <w:szCs w:val="16"/>
    </w:rPr>
  </w:style>
  <w:style w:type="character" w:customStyle="1" w:styleId="CarCar">
    <w:name w:val="Car Car"/>
    <w:uiPriority w:val="99"/>
    <w:rsid w:val="00354B16"/>
    <w:rPr>
      <w:rFonts w:ascii="Calibri" w:hAnsi="Calibri" w:cs="Times New Roman"/>
      <w:sz w:val="22"/>
      <w:szCs w:val="22"/>
      <w:lang w:val="es-ES" w:eastAsia="en-US" w:bidi="ar-SA"/>
    </w:rPr>
  </w:style>
  <w:style w:type="paragraph" w:styleId="Sangradetextonormal">
    <w:name w:val="Body Text Indent"/>
    <w:basedOn w:val="Normal"/>
    <w:link w:val="SangradetextonormalCar"/>
    <w:uiPriority w:val="99"/>
    <w:rsid w:val="00354B16"/>
    <w:pPr>
      <w:suppressAutoHyphens/>
      <w:spacing w:line="240" w:lineRule="auto"/>
      <w:ind w:firstLine="1440"/>
      <w:jc w:val="both"/>
    </w:pPr>
    <w:rPr>
      <w:rFonts w:ascii="Arial" w:hAnsi="Arial" w:cs="Arial"/>
      <w:kern w:val="1"/>
      <w:sz w:val="24"/>
      <w:szCs w:val="24"/>
      <w:lang w:val="es-ES" w:eastAsia="zh-CN"/>
    </w:rPr>
  </w:style>
  <w:style w:type="character" w:customStyle="1" w:styleId="SangradetextonormalCar">
    <w:name w:val="Sangría de texto normal Car"/>
    <w:link w:val="Sangradetextonormal"/>
    <w:uiPriority w:val="99"/>
    <w:semiHidden/>
    <w:locked/>
    <w:rsid w:val="00354B16"/>
    <w:rPr>
      <w:rFonts w:ascii="Arial" w:hAnsi="Arial" w:cs="Arial"/>
      <w:kern w:val="1"/>
      <w:sz w:val="24"/>
      <w:szCs w:val="24"/>
      <w:lang w:val="es-E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3576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FUNADAMENTOS</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FUNADAMENTOS</dc:title>
  <dc:subject/>
  <dc:creator>CONSTANZA BALCAR</dc:creator>
  <cp:keywords/>
  <dc:description/>
  <cp:lastModifiedBy>Romina</cp:lastModifiedBy>
  <cp:revision>2</cp:revision>
  <cp:lastPrinted>2018-05-21T12:39:00Z</cp:lastPrinted>
  <dcterms:created xsi:type="dcterms:W3CDTF">2018-10-01T12:30:00Z</dcterms:created>
  <dcterms:modified xsi:type="dcterms:W3CDTF">2018-10-01T12:30:00Z</dcterms:modified>
</cp:coreProperties>
</file>