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65E11" w:rsidRDefault="00E65E11" w:rsidP="00E65E11">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591595762" r:id="rId7"/>
        </w:object>
      </w:r>
    </w:p>
    <w:p w:rsidR="00E65E11" w:rsidRDefault="00E65E11" w:rsidP="00E65E11">
      <w:pPr>
        <w:rPr>
          <w:lang w:val="en-US"/>
        </w:rPr>
      </w:pPr>
    </w:p>
    <w:p w:rsidR="00E65E11" w:rsidRDefault="00E65E11" w:rsidP="00E65E11">
      <w:pPr>
        <w:rPr>
          <w:lang w:val="en-US"/>
        </w:rPr>
      </w:pPr>
    </w:p>
    <w:p w:rsidR="00FB2BC4" w:rsidRDefault="00FB2BC4" w:rsidP="00E65E11">
      <w:pPr>
        <w:rPr>
          <w:lang w:val="en-US"/>
        </w:rPr>
      </w:pPr>
    </w:p>
    <w:p w:rsidR="00FB2BC4" w:rsidRPr="00FB2BC4" w:rsidRDefault="00FB2BC4" w:rsidP="00FB2BC4">
      <w:pPr>
        <w:jc w:val="center"/>
        <w:rPr>
          <w:rFonts w:ascii="Bookman Old Style" w:hAnsi="Bookman Old Style"/>
          <w:b/>
          <w:sz w:val="22"/>
          <w:szCs w:val="22"/>
          <w:lang w:val="en-US"/>
        </w:rPr>
      </w:pPr>
      <w:r w:rsidRPr="00FB2BC4">
        <w:rPr>
          <w:rFonts w:ascii="Bookman Old Style" w:hAnsi="Bookman Old Style"/>
          <w:b/>
          <w:sz w:val="22"/>
          <w:szCs w:val="22"/>
          <w:lang w:val="en-US"/>
        </w:rPr>
        <w:t>PROYECTO DE LEY</w:t>
      </w:r>
    </w:p>
    <w:p w:rsidR="00FB2BC4" w:rsidRDefault="00FB2BC4" w:rsidP="00FB2BC4">
      <w:pPr>
        <w:jc w:val="both"/>
        <w:rPr>
          <w:rFonts w:ascii="Bookman Old Style" w:hAnsi="Bookman Old Style"/>
          <w:b/>
          <w:sz w:val="22"/>
          <w:szCs w:val="22"/>
          <w:lang w:val="en-US"/>
        </w:rPr>
      </w:pPr>
    </w:p>
    <w:p w:rsidR="00FB2BC4" w:rsidRDefault="00FB2BC4" w:rsidP="00FB2BC4">
      <w:pPr>
        <w:jc w:val="both"/>
        <w:rPr>
          <w:rFonts w:ascii="Bookman Old Style" w:hAnsi="Bookman Old Style"/>
          <w:b/>
          <w:sz w:val="22"/>
          <w:szCs w:val="22"/>
        </w:rPr>
      </w:pPr>
    </w:p>
    <w:p w:rsidR="00FB2BC4" w:rsidRDefault="00FB2BC4" w:rsidP="00FB2BC4">
      <w:pPr>
        <w:spacing w:line="480" w:lineRule="auto"/>
        <w:jc w:val="both"/>
        <w:rPr>
          <w:rFonts w:ascii="Bookman Old Style" w:hAnsi="Bookman Old Style"/>
          <w:b/>
          <w:sz w:val="22"/>
          <w:szCs w:val="22"/>
        </w:rPr>
      </w:pPr>
      <w:r w:rsidRPr="00FB2BC4">
        <w:rPr>
          <w:rFonts w:ascii="Bookman Old Style" w:hAnsi="Bookman Old Style"/>
          <w:b/>
          <w:sz w:val="22"/>
          <w:szCs w:val="22"/>
          <w:u w:val="single"/>
        </w:rPr>
        <w:t>FUNDAMENTOS</w:t>
      </w:r>
      <w:r>
        <w:rPr>
          <w:rFonts w:ascii="Bookman Old Style" w:hAnsi="Bookman Old Style"/>
          <w:b/>
          <w:sz w:val="22"/>
          <w:szCs w:val="22"/>
        </w:rPr>
        <w:t>:</w:t>
      </w:r>
    </w:p>
    <w:p w:rsidR="00FB2BC4" w:rsidRDefault="00FB2BC4" w:rsidP="00E65E11"/>
    <w:p w:rsidR="00233EB2" w:rsidRPr="000F7B4E" w:rsidRDefault="00233EB2" w:rsidP="00E65E11">
      <w:pPr>
        <w:rPr>
          <w:rFonts w:ascii="Bookman Old Style" w:hAnsi="Bookman Old Style"/>
        </w:rPr>
      </w:pPr>
    </w:p>
    <w:p w:rsidR="000F7B4E" w:rsidRPr="000F7B4E" w:rsidRDefault="000F7B4E" w:rsidP="000F7B4E">
      <w:pPr>
        <w:spacing w:line="480" w:lineRule="auto"/>
        <w:jc w:val="both"/>
        <w:rPr>
          <w:rFonts w:ascii="Bookman Old Style" w:hAnsi="Bookman Old Style"/>
          <w:lang w:val="es-AR"/>
        </w:rPr>
      </w:pPr>
      <w:smartTag w:uri="urn:schemas-microsoft-com:office:smarttags" w:element="PersonName">
        <w:smartTagPr>
          <w:attr w:name="ProductID" w:val="La Constitución Provincial"/>
        </w:smartTagPr>
        <w:r w:rsidRPr="000F7B4E">
          <w:rPr>
            <w:rFonts w:ascii="Bookman Old Style" w:hAnsi="Bookman Old Style"/>
            <w:lang w:val="es-AR"/>
          </w:rPr>
          <w:t>La Constitución Provincial</w:t>
        </w:r>
      </w:smartTag>
      <w:r w:rsidRPr="000F7B4E">
        <w:rPr>
          <w:rFonts w:ascii="Bookman Old Style" w:hAnsi="Bookman Old Style"/>
          <w:lang w:val="es-AR"/>
        </w:rPr>
        <w:t xml:space="preserve"> sancionada en el año 2008, y siguiendo en esto lo que ya contemplaba </w:t>
      </w:r>
      <w:smartTag w:uri="urn:schemas-microsoft-com:office:smarttags" w:element="PersonName">
        <w:smartTagPr>
          <w:attr w:name="ProductID" w:val="la Constitución"/>
        </w:smartTagPr>
        <w:r w:rsidRPr="000F7B4E">
          <w:rPr>
            <w:rFonts w:ascii="Bookman Old Style" w:hAnsi="Bookman Old Style"/>
            <w:lang w:val="es-AR"/>
          </w:rPr>
          <w:t>la Constitución</w:t>
        </w:r>
      </w:smartTag>
      <w:r w:rsidRPr="000F7B4E">
        <w:rPr>
          <w:rFonts w:ascii="Bookman Old Style" w:hAnsi="Bookman Old Style"/>
          <w:lang w:val="es-AR"/>
        </w:rPr>
        <w:t xml:space="preserve"> de 1933, consagra la existencia de ORGANOS AUTÓNOMOS DE CONTROL de todos los organismos del Estado, incluido</w:t>
      </w:r>
      <w:r>
        <w:rPr>
          <w:rFonts w:ascii="Bookman Old Style" w:hAnsi="Bookman Old Style"/>
          <w:lang w:val="es-AR"/>
        </w:rPr>
        <w:t xml:space="preserve">, </w:t>
      </w:r>
      <w:r w:rsidRPr="000F7B4E">
        <w:rPr>
          <w:rFonts w:ascii="Bookman Old Style" w:hAnsi="Bookman Old Style"/>
          <w:lang w:val="es-AR"/>
        </w:rPr>
        <w:t>en ese control</w:t>
      </w:r>
      <w:r>
        <w:rPr>
          <w:rFonts w:ascii="Bookman Old Style" w:hAnsi="Bookman Old Style"/>
          <w:lang w:val="es-AR"/>
        </w:rPr>
        <w:t>,</w:t>
      </w:r>
      <w:r w:rsidRPr="000F7B4E">
        <w:rPr>
          <w:rFonts w:ascii="Bookman Old Style" w:hAnsi="Bookman Old Style"/>
          <w:lang w:val="es-AR"/>
        </w:rPr>
        <w:t xml:space="preserve"> no solo los entes autárquicos del Estado Provincial, sino también de </w:t>
      </w:r>
      <w:smartTag w:uri="urn:schemas-microsoft-com:office:smarttags" w:element="PersonName">
        <w:smartTagPr>
          <w:attr w:name="ProductID" w:val="la Empresas"/>
        </w:smartTagPr>
        <w:r w:rsidRPr="000F7B4E">
          <w:rPr>
            <w:rFonts w:ascii="Bookman Old Style" w:hAnsi="Bookman Old Style"/>
            <w:lang w:val="es-AR"/>
          </w:rPr>
          <w:t>la Empresas</w:t>
        </w:r>
      </w:smartTag>
      <w:r w:rsidRPr="000F7B4E">
        <w:rPr>
          <w:rFonts w:ascii="Bookman Old Style" w:hAnsi="Bookman Old Style"/>
          <w:lang w:val="es-AR"/>
        </w:rPr>
        <w:t xml:space="preserve"> del Estado, o en las que el Estado Provincial, ya sea en forma directa, o a través de alguno de sus organismos, sea parte o forme parte en ellas. Es decir, por fuera de los tres Poderes del Estado (Ejecutivo, Legislativo y Judicial) existen órganos de contralor de la propia administración, que se los ha dado en llamar justamente Órganos de Control </w:t>
      </w:r>
      <w:proofErr w:type="gramStart"/>
      <w:r w:rsidRPr="000F7B4E">
        <w:rPr>
          <w:rFonts w:ascii="Bookman Old Style" w:hAnsi="Bookman Old Style"/>
          <w:lang w:val="es-AR"/>
        </w:rPr>
        <w:t>Extrapoder.-</w:t>
      </w:r>
      <w:proofErr w:type="gramEnd"/>
    </w:p>
    <w:p w:rsidR="000F7B4E" w:rsidRPr="000F7B4E" w:rsidRDefault="000F7B4E" w:rsidP="000F7B4E">
      <w:pPr>
        <w:spacing w:line="480" w:lineRule="auto"/>
        <w:jc w:val="both"/>
        <w:rPr>
          <w:rFonts w:ascii="Bookman Old Style" w:hAnsi="Bookman Old Style"/>
          <w:lang w:val="es-AR"/>
        </w:rPr>
      </w:pPr>
      <w:r w:rsidRPr="000F7B4E">
        <w:rPr>
          <w:rFonts w:ascii="Bookman Old Style" w:hAnsi="Bookman Old Style"/>
          <w:lang w:val="es-AR"/>
        </w:rPr>
        <w:t xml:space="preserve">Estos Órganos de Control Extrapoder son Fiscalía de Estado, Contaduría General de </w:t>
      </w:r>
      <w:smartTag w:uri="urn:schemas-microsoft-com:office:smarttags" w:element="PersonName">
        <w:smartTagPr>
          <w:attr w:name="ProductID" w:val="la Provincia"/>
        </w:smartTagPr>
        <w:r w:rsidRPr="000F7B4E">
          <w:rPr>
            <w:rFonts w:ascii="Bookman Old Style" w:hAnsi="Bookman Old Style"/>
            <w:lang w:val="es-AR"/>
          </w:rPr>
          <w:t>la Provincia</w:t>
        </w:r>
      </w:smartTag>
      <w:r w:rsidRPr="000F7B4E">
        <w:rPr>
          <w:rFonts w:ascii="Bookman Old Style" w:hAnsi="Bookman Old Style"/>
          <w:lang w:val="es-AR"/>
        </w:rPr>
        <w:t xml:space="preserve">, Tesorería General de </w:t>
      </w:r>
      <w:smartTag w:uri="urn:schemas-microsoft-com:office:smarttags" w:element="PersonName">
        <w:smartTagPr>
          <w:attr w:name="ProductID" w:val="la Provincia"/>
        </w:smartTagPr>
        <w:r w:rsidRPr="000F7B4E">
          <w:rPr>
            <w:rFonts w:ascii="Bookman Old Style" w:hAnsi="Bookman Old Style"/>
            <w:lang w:val="es-AR"/>
          </w:rPr>
          <w:t>la Provincia</w:t>
        </w:r>
      </w:smartTag>
      <w:r w:rsidRPr="000F7B4E">
        <w:rPr>
          <w:rFonts w:ascii="Bookman Old Style" w:hAnsi="Bookman Old Style"/>
          <w:lang w:val="es-AR"/>
        </w:rPr>
        <w:t xml:space="preserve">, y el Defensor del Pueblo, los cuales deben guardar, en aras de la transparencia, independencia, entre otras cualidades, una autonomía total, y por ende ni siquiera pueden recibir órdenes o instrucciones de los Poderes Legislativo, Ejecutivo y Judicial, salvo que la propia constitución lo establezca, como es el caso de Contaduría General de </w:t>
      </w:r>
      <w:smartTag w:uri="urn:schemas-microsoft-com:office:smarttags" w:element="PersonName">
        <w:smartTagPr>
          <w:attr w:name="ProductID" w:val="la Provincia"/>
        </w:smartTagPr>
        <w:r w:rsidRPr="000F7B4E">
          <w:rPr>
            <w:rFonts w:ascii="Bookman Old Style" w:hAnsi="Bookman Old Style"/>
            <w:lang w:val="es-AR"/>
          </w:rPr>
          <w:t>la Provincia</w:t>
        </w:r>
      </w:smartTag>
      <w:r w:rsidRPr="000F7B4E">
        <w:rPr>
          <w:rFonts w:ascii="Bookman Old Style" w:hAnsi="Bookman Old Style"/>
          <w:lang w:val="es-AR"/>
        </w:rPr>
        <w:t xml:space="preserve"> en el supuesto previsto en el último párrafo del art. 210 de </w:t>
      </w:r>
      <w:smartTag w:uri="urn:schemas-microsoft-com:office:smarttags" w:element="PersonName">
        <w:smartTagPr>
          <w:attr w:name="ProductID" w:val="la C. Provincial.-"/>
        </w:smartTagPr>
        <w:r w:rsidRPr="000F7B4E">
          <w:rPr>
            <w:rFonts w:ascii="Bookman Old Style" w:hAnsi="Bookman Old Style"/>
            <w:lang w:val="es-AR"/>
          </w:rPr>
          <w:t>la C. Provincial.-</w:t>
        </w:r>
      </w:smartTag>
    </w:p>
    <w:p w:rsidR="000F7B4E" w:rsidRDefault="000F7B4E" w:rsidP="000F7B4E">
      <w:pPr>
        <w:spacing w:line="480" w:lineRule="auto"/>
        <w:jc w:val="both"/>
        <w:rPr>
          <w:rFonts w:ascii="Bookman Old Style" w:hAnsi="Bookman Old Style"/>
          <w:sz w:val="22"/>
          <w:szCs w:val="22"/>
          <w:lang w:val="es-AR"/>
        </w:rPr>
      </w:pPr>
      <w:r w:rsidRPr="000F7B4E">
        <w:rPr>
          <w:rFonts w:ascii="Bookman Old Style" w:hAnsi="Bookman Old Style"/>
          <w:lang w:val="es-AR"/>
        </w:rPr>
        <w:t xml:space="preserve">Esto indica que el Constituyente del 2008 estableció verdaderos organismos de control, que deben justamente controlar todas las reparticiones del Estado Provincial, pero también aquellas entidades en las que el propio Estado Provincial fuere parte, o tuviera algún interés. Esto implica que quienes integren estos organismos de control, deben guardar total y absoluta independencia con respecto no solo a los Poderes Ejecutivo, Legislativo y Judicial, sino de los demás organismos de control, porque bien es sabido de estos organismos de control extrapoder intervienen en distintas etapas del desarrollo de </w:t>
      </w:r>
      <w:r w:rsidRPr="000F7B4E">
        <w:rPr>
          <w:rFonts w:ascii="Bookman Old Style" w:hAnsi="Bookman Old Style"/>
          <w:sz w:val="22"/>
          <w:szCs w:val="22"/>
          <w:lang w:val="es-AR"/>
        </w:rPr>
        <w:t xml:space="preserve">las diversas actividades del Estado Provincial, ya sea en forma simultánea o en </w:t>
      </w:r>
    </w:p>
    <w:p w:rsidR="000F7B4E" w:rsidRDefault="000F7B4E" w:rsidP="000F7B4E">
      <w:pPr>
        <w:spacing w:line="480" w:lineRule="auto"/>
        <w:jc w:val="both"/>
        <w:rPr>
          <w:rFonts w:ascii="Bookman Old Style" w:hAnsi="Bookman Old Style"/>
          <w:sz w:val="22"/>
          <w:szCs w:val="22"/>
          <w:lang w:val="es-AR"/>
        </w:rPr>
      </w:pPr>
      <w:r>
        <w:object w:dxaOrig="11569" w:dyaOrig="2910">
          <v:shape id="_x0000_i1027" type="#_x0000_t75" style="width:206.25pt;height:43.5pt" o:ole="">
            <v:imagedata r:id="rId6" o:title="" croptop="-266f" cropleft="18f"/>
          </v:shape>
          <o:OLEObject Type="Embed" ProgID="PBrush" ShapeID="_x0000_i1027" DrawAspect="Content" ObjectID="_1591595763" r:id="rId8"/>
        </w:object>
      </w:r>
    </w:p>
    <w:p w:rsidR="000F7B4E" w:rsidRDefault="000F7B4E" w:rsidP="000F7B4E">
      <w:pPr>
        <w:spacing w:line="480" w:lineRule="auto"/>
        <w:jc w:val="both"/>
        <w:rPr>
          <w:rFonts w:ascii="Bookman Old Style" w:hAnsi="Bookman Old Style"/>
          <w:sz w:val="22"/>
          <w:szCs w:val="22"/>
          <w:lang w:val="es-AR"/>
        </w:rPr>
      </w:pPr>
    </w:p>
    <w:p w:rsidR="000F7B4E" w:rsidRDefault="000F7B4E" w:rsidP="000F7B4E">
      <w:pPr>
        <w:spacing w:line="480" w:lineRule="auto"/>
        <w:jc w:val="both"/>
        <w:rPr>
          <w:rFonts w:ascii="Bookman Old Style" w:hAnsi="Bookman Old Style"/>
          <w:lang w:val="es-AR"/>
        </w:rPr>
      </w:pPr>
      <w:r w:rsidRPr="000F7B4E">
        <w:rPr>
          <w:rFonts w:ascii="Bookman Old Style" w:hAnsi="Bookman Old Style"/>
          <w:sz w:val="22"/>
          <w:szCs w:val="22"/>
          <w:lang w:val="es-AR"/>
        </w:rPr>
        <w:t>forma</w:t>
      </w:r>
      <w:r w:rsidRPr="000F7B4E">
        <w:rPr>
          <w:rFonts w:ascii="Bookman Old Style" w:hAnsi="Bookman Old Style"/>
          <w:lang w:val="es-AR"/>
        </w:rPr>
        <w:t xml:space="preserve"> sucesiva. </w:t>
      </w:r>
    </w:p>
    <w:p w:rsidR="000F7B4E" w:rsidRPr="000F7B4E" w:rsidRDefault="000F7B4E" w:rsidP="000F7B4E">
      <w:pPr>
        <w:spacing w:line="480" w:lineRule="auto"/>
        <w:jc w:val="both"/>
        <w:rPr>
          <w:rFonts w:ascii="Bookman Old Style" w:hAnsi="Bookman Old Style"/>
          <w:lang w:val="es-AR"/>
        </w:rPr>
      </w:pPr>
      <w:r>
        <w:rPr>
          <w:rFonts w:ascii="Bookman Old Style" w:hAnsi="Bookman Old Style"/>
          <w:lang w:val="es-AR"/>
        </w:rPr>
        <w:t>Para fundamentar lo señalado, es bueno recordar que “Para una efectiva autonomía funcional debe garantizarse su independencia e imparcialidad. La independencia debe darse en el aspecto personal de quienes conducen el tribunal, y en el funcional, que presupone la carencia de vínculos jerárquicos. Así, el órgano fiscalizador no debe depender del fiscalizado. La imparcialidad se relaciona con la índole de la materia sometida a su conocimiento, de carácter técnico, no político, e importa la neutralidad y objetividad en su accionar” (Antonio María Hernández – Coordinador-; “DERECHO PUBLICO PROVINCIAL”, pág. 477; Ed. LexisNeris, 2008). Desde luego, esa imparcialidad y autonomía se encuentra menguada cuando algún integrante de estos organismos de Control extrapoder es convocado o designado en algún cargo, especialmente de contralor interno, de alguna repartición del Estado Provincial, de organismos que tienen dependencia funcional de cualquiera de los Poderes del Estado (Ejecutivo, Legislativo o Judicial</w:t>
      </w:r>
      <w:proofErr w:type="gramStart"/>
      <w:r>
        <w:rPr>
          <w:rFonts w:ascii="Bookman Old Style" w:hAnsi="Bookman Old Style"/>
          <w:lang w:val="es-AR"/>
        </w:rPr>
        <w:t>).-</w:t>
      </w:r>
      <w:proofErr w:type="gramEnd"/>
    </w:p>
    <w:p w:rsidR="000F7B4E" w:rsidRPr="000F7B4E" w:rsidRDefault="000F7B4E" w:rsidP="000F7B4E">
      <w:pPr>
        <w:spacing w:line="480" w:lineRule="auto"/>
        <w:jc w:val="both"/>
        <w:rPr>
          <w:rFonts w:ascii="Bookman Old Style" w:hAnsi="Bookman Old Style"/>
          <w:lang w:val="es-AR"/>
        </w:rPr>
      </w:pPr>
      <w:r w:rsidRPr="000F7B4E">
        <w:rPr>
          <w:rFonts w:ascii="Bookman Old Style" w:hAnsi="Bookman Old Style"/>
          <w:lang w:val="es-AR"/>
        </w:rPr>
        <w:t>Entonces, en función de la investidura que ejercen no solo los responsables máximos de estos organismos de control, sino también todos aquellos dependientes que cumplen funciones en los mismos, cualquiera fuera su nivel, no pueden actuar, ya sea como directivos, síndicos, controladores internos de cualquier organismo o repartición, empresa, fundación, sociedad, etc., y que fuera del Estado Provincial, o el mismo sea parte. Ello es así es aras de la independencia y transparencia que los organismos de control deben mantener y guardar en todas las instancias del funcionamiento del Estado Provincial</w:t>
      </w:r>
      <w:r>
        <w:rPr>
          <w:rFonts w:ascii="Bookman Old Style" w:hAnsi="Bookman Old Style"/>
          <w:lang w:val="es-AR"/>
        </w:rPr>
        <w:t xml:space="preserve">, pero además, hasta por razones de ética </w:t>
      </w:r>
      <w:proofErr w:type="gramStart"/>
      <w:r>
        <w:rPr>
          <w:rFonts w:ascii="Bookman Old Style" w:hAnsi="Bookman Old Style"/>
          <w:lang w:val="es-AR"/>
        </w:rPr>
        <w:t>pública</w:t>
      </w:r>
      <w:r w:rsidRPr="000F7B4E">
        <w:rPr>
          <w:rFonts w:ascii="Bookman Old Style" w:hAnsi="Bookman Old Style"/>
          <w:lang w:val="es-AR"/>
        </w:rPr>
        <w:t>.-</w:t>
      </w:r>
      <w:proofErr w:type="gramEnd"/>
    </w:p>
    <w:p w:rsidR="000F7B4E" w:rsidRPr="000F7B4E" w:rsidRDefault="000F7B4E" w:rsidP="000F7B4E">
      <w:pPr>
        <w:spacing w:line="480" w:lineRule="auto"/>
        <w:jc w:val="both"/>
        <w:rPr>
          <w:rFonts w:ascii="Bookman Old Style" w:hAnsi="Bookman Old Style"/>
          <w:lang w:val="es-AR"/>
        </w:rPr>
      </w:pPr>
      <w:r w:rsidRPr="000F7B4E">
        <w:rPr>
          <w:rFonts w:ascii="Bookman Old Style" w:hAnsi="Bookman Old Style"/>
          <w:lang w:val="es-AR"/>
        </w:rPr>
        <w:t>Por ello</w:t>
      </w:r>
    </w:p>
    <w:p w:rsidR="00233EB2" w:rsidRPr="000F7B4E" w:rsidRDefault="00233EB2" w:rsidP="000F7B4E">
      <w:pPr>
        <w:spacing w:line="480" w:lineRule="auto"/>
        <w:jc w:val="both"/>
        <w:rPr>
          <w:rFonts w:ascii="Bookman Old Style" w:hAnsi="Bookman Old Style"/>
        </w:rPr>
      </w:pPr>
    </w:p>
    <w:p w:rsidR="00233EB2" w:rsidRPr="000F7B4E" w:rsidRDefault="00233EB2" w:rsidP="000F7B4E">
      <w:pPr>
        <w:spacing w:line="480" w:lineRule="auto"/>
        <w:jc w:val="both"/>
        <w:rPr>
          <w:rFonts w:ascii="Bookman Old Style" w:hAnsi="Bookman Old Style"/>
        </w:rPr>
      </w:pPr>
    </w:p>
    <w:p w:rsidR="00233EB2" w:rsidRPr="000F7B4E" w:rsidRDefault="00233EB2" w:rsidP="000F7B4E">
      <w:pPr>
        <w:spacing w:line="480" w:lineRule="auto"/>
        <w:jc w:val="both"/>
        <w:rPr>
          <w:rFonts w:ascii="Bookman Old Style" w:hAnsi="Bookman Old Style"/>
        </w:rPr>
      </w:pPr>
    </w:p>
    <w:p w:rsidR="00233EB2" w:rsidRPr="000F7B4E" w:rsidRDefault="00233EB2" w:rsidP="000F7B4E">
      <w:pPr>
        <w:spacing w:line="480" w:lineRule="auto"/>
        <w:jc w:val="both"/>
        <w:rPr>
          <w:rFonts w:ascii="Bookman Old Style" w:hAnsi="Bookman Old Style"/>
        </w:rPr>
      </w:pPr>
    </w:p>
    <w:p w:rsidR="00233EB2" w:rsidRPr="000F7B4E" w:rsidRDefault="00233EB2" w:rsidP="000F7B4E">
      <w:pPr>
        <w:spacing w:line="480" w:lineRule="auto"/>
        <w:jc w:val="both"/>
        <w:rPr>
          <w:rFonts w:ascii="Bookman Old Style" w:hAnsi="Bookman Old Style"/>
        </w:rPr>
      </w:pPr>
    </w:p>
    <w:p w:rsidR="00D103CA" w:rsidRDefault="00D103CA" w:rsidP="00E65E11">
      <w:r>
        <w:object w:dxaOrig="11569" w:dyaOrig="2910">
          <v:shape id="_x0000_i1026" type="#_x0000_t75" style="width:206.25pt;height:43.5pt" o:ole="">
            <v:imagedata r:id="rId6" o:title="" croptop="-266f" cropleft="18f"/>
          </v:shape>
          <o:OLEObject Type="Embed" ProgID="PBrush" ShapeID="_x0000_i1026" DrawAspect="Content" ObjectID="_1591595764" r:id="rId9"/>
        </w:object>
      </w:r>
    </w:p>
    <w:p w:rsidR="00FB2BC4" w:rsidRPr="00FB2BC4" w:rsidRDefault="00FB2BC4" w:rsidP="00E65E11"/>
    <w:p w:rsidR="00FB2BC4" w:rsidRPr="00FB2BC4" w:rsidRDefault="00FB2BC4" w:rsidP="00E65E11"/>
    <w:p w:rsidR="00E65E11" w:rsidRPr="00FB2BC4" w:rsidRDefault="00E65E11" w:rsidP="000F7B4E"/>
    <w:p w:rsidR="00CA2AEE" w:rsidRPr="00CA2AEE" w:rsidRDefault="001545D6" w:rsidP="00CA2AEE">
      <w:pPr>
        <w:pStyle w:val="Ttulo3"/>
        <w:jc w:val="center"/>
        <w:rPr>
          <w:rFonts w:ascii="Bookman Old Style" w:hAnsi="Bookman Old Style"/>
          <w:szCs w:val="22"/>
          <w:lang w:val="es-ES"/>
        </w:rPr>
      </w:pPr>
      <w:smartTag w:uri="urn:schemas-microsoft-com:office:smarttags" w:element="PersonName">
        <w:smartTagPr>
          <w:attr w:name="ProductID" w:val="LA LEGISLATURA DE"/>
        </w:smartTagPr>
        <w:r>
          <w:rPr>
            <w:rFonts w:ascii="Bookman Old Style" w:hAnsi="Bookman Old Style"/>
            <w:szCs w:val="22"/>
            <w:lang w:val="es-ES"/>
          </w:rPr>
          <w:t>LA LEGISLATURA DE</w:t>
        </w:r>
      </w:smartTag>
      <w:r>
        <w:rPr>
          <w:rFonts w:ascii="Bookman Old Style" w:hAnsi="Bookman Old Style"/>
          <w:szCs w:val="22"/>
          <w:lang w:val="es-ES"/>
        </w:rPr>
        <w:t xml:space="preserv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Cs w:val="22"/>
              <w:lang w:val="es-ES"/>
            </w:rPr>
            <w:t>LA PROVINCIA</w:t>
          </w:r>
        </w:smartTag>
        <w:r>
          <w:rPr>
            <w:rFonts w:ascii="Bookman Old Style" w:hAnsi="Bookman Old Style"/>
            <w:szCs w:val="22"/>
            <w:lang w:val="es-ES"/>
          </w:rPr>
          <w:t xml:space="preserve"> DE</w:t>
        </w:r>
      </w:smartTag>
      <w:r>
        <w:rPr>
          <w:rFonts w:ascii="Bookman Old Style" w:hAnsi="Bookman Old Style"/>
          <w:szCs w:val="22"/>
          <w:lang w:val="es-ES"/>
        </w:rPr>
        <w:t xml:space="preserve"> ENTRE RIOS SANCIONA CON FUERZA DE LEY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0F7B4E" w:rsidRPr="000F7B4E" w:rsidRDefault="000F7B4E" w:rsidP="000F7B4E">
      <w:pPr>
        <w:spacing w:line="480" w:lineRule="auto"/>
        <w:jc w:val="both"/>
        <w:rPr>
          <w:rFonts w:ascii="Bookman Old Style" w:hAnsi="Bookman Old Style"/>
          <w:sz w:val="22"/>
          <w:szCs w:val="22"/>
          <w:lang w:val="es-AR"/>
        </w:rPr>
      </w:pPr>
      <w:r w:rsidRPr="000F7B4E">
        <w:rPr>
          <w:rFonts w:ascii="Bookman Old Style" w:hAnsi="Bookman Old Style"/>
          <w:b/>
          <w:sz w:val="22"/>
          <w:szCs w:val="22"/>
          <w:u w:val="single"/>
          <w:lang w:val="es-AR"/>
        </w:rPr>
        <w:t>Artículo 1º</w:t>
      </w:r>
      <w:r w:rsidRPr="000F7B4E">
        <w:rPr>
          <w:rFonts w:ascii="Bookman Old Style" w:hAnsi="Bookman Old Style"/>
          <w:sz w:val="22"/>
          <w:szCs w:val="22"/>
          <w:lang w:val="es-AR"/>
        </w:rPr>
        <w:t xml:space="preserve">: Quienes integren o formen parte de </w:t>
      </w:r>
      <w:smartTag w:uri="urn:schemas-microsoft-com:office:smarttags" w:element="PersonName">
        <w:smartTagPr>
          <w:attr w:name="ProductID" w:val="la Fiscalía"/>
        </w:smartTagPr>
        <w:r>
          <w:rPr>
            <w:rFonts w:ascii="Bookman Old Style" w:hAnsi="Bookman Old Style"/>
            <w:sz w:val="22"/>
            <w:szCs w:val="22"/>
            <w:lang w:val="es-AR"/>
          </w:rPr>
          <w:t xml:space="preserve">la </w:t>
        </w:r>
        <w:r w:rsidRPr="000F7B4E">
          <w:rPr>
            <w:rFonts w:ascii="Bookman Old Style" w:hAnsi="Bookman Old Style"/>
            <w:sz w:val="22"/>
            <w:szCs w:val="22"/>
            <w:lang w:val="es-AR"/>
          </w:rPr>
          <w:t>Fiscalía</w:t>
        </w:r>
      </w:smartTag>
      <w:r w:rsidRPr="000F7B4E">
        <w:rPr>
          <w:rFonts w:ascii="Bookman Old Style" w:hAnsi="Bookman Old Style"/>
          <w:sz w:val="22"/>
          <w:szCs w:val="22"/>
          <w:lang w:val="es-AR"/>
        </w:rPr>
        <w:t xml:space="preserve"> de Estado,</w:t>
      </w:r>
      <w:r>
        <w:rPr>
          <w:rFonts w:ascii="Bookman Old Style" w:hAnsi="Bookman Old Style"/>
          <w:sz w:val="22"/>
          <w:szCs w:val="22"/>
          <w:lang w:val="es-AR"/>
        </w:rPr>
        <w:t xml:space="preserve"> </w:t>
      </w:r>
      <w:smartTag w:uri="urn:schemas-microsoft-com:office:smarttags" w:element="PersonName">
        <w:smartTagPr>
          <w:attr w:name="ProductID" w:val="la  Contaduría General"/>
        </w:smartTagPr>
        <w:r>
          <w:rPr>
            <w:rFonts w:ascii="Bookman Old Style" w:hAnsi="Bookman Old Style"/>
            <w:sz w:val="22"/>
            <w:szCs w:val="22"/>
            <w:lang w:val="es-AR"/>
          </w:rPr>
          <w:t xml:space="preserve">la </w:t>
        </w:r>
        <w:r w:rsidRPr="000F7B4E">
          <w:rPr>
            <w:rFonts w:ascii="Bookman Old Style" w:hAnsi="Bookman Old Style"/>
            <w:sz w:val="22"/>
            <w:szCs w:val="22"/>
            <w:lang w:val="es-AR"/>
          </w:rPr>
          <w:t xml:space="preserve"> Contaduría General</w:t>
        </w:r>
      </w:smartTag>
      <w:r w:rsidRPr="000F7B4E">
        <w:rPr>
          <w:rFonts w:ascii="Bookman Old Style" w:hAnsi="Bookman Old Style"/>
          <w:sz w:val="22"/>
          <w:szCs w:val="22"/>
          <w:lang w:val="es-AR"/>
        </w:rPr>
        <w:t xml:space="preserve"> de </w:t>
      </w:r>
      <w:smartTag w:uri="urn:schemas-microsoft-com:office:smarttags" w:element="PersonName">
        <w:smartTagPr>
          <w:attr w:name="ProductID" w:val="la Provincia"/>
        </w:smartTagPr>
        <w:r w:rsidRPr="000F7B4E">
          <w:rPr>
            <w:rFonts w:ascii="Bookman Old Style" w:hAnsi="Bookman Old Style"/>
            <w:sz w:val="22"/>
            <w:szCs w:val="22"/>
            <w:lang w:val="es-AR"/>
          </w:rPr>
          <w:t>la Provincia</w:t>
        </w:r>
      </w:smartTag>
      <w:r w:rsidRPr="000F7B4E">
        <w:rPr>
          <w:rFonts w:ascii="Bookman Old Style" w:hAnsi="Bookman Old Style"/>
          <w:sz w:val="22"/>
          <w:szCs w:val="22"/>
          <w:lang w:val="es-AR"/>
        </w:rPr>
        <w:t xml:space="preserve"> de Entre Ríos, </w:t>
      </w:r>
      <w:smartTag w:uri="urn:schemas-microsoft-com:office:smarttags" w:element="PersonName">
        <w:smartTagPr>
          <w:attr w:name="ProductID" w:val="la Tesorería General"/>
        </w:smartTagPr>
        <w:r>
          <w:rPr>
            <w:rFonts w:ascii="Bookman Old Style" w:hAnsi="Bookman Old Style"/>
            <w:sz w:val="22"/>
            <w:szCs w:val="22"/>
            <w:lang w:val="es-AR"/>
          </w:rPr>
          <w:t xml:space="preserve">la </w:t>
        </w:r>
        <w:r w:rsidRPr="000F7B4E">
          <w:rPr>
            <w:rFonts w:ascii="Bookman Old Style" w:hAnsi="Bookman Old Style"/>
            <w:sz w:val="22"/>
            <w:szCs w:val="22"/>
            <w:lang w:val="es-AR"/>
          </w:rPr>
          <w:t>Tesorería General</w:t>
        </w:r>
      </w:smartTag>
      <w:r w:rsidRPr="000F7B4E">
        <w:rPr>
          <w:rFonts w:ascii="Bookman Old Style" w:hAnsi="Bookman Old Style"/>
          <w:sz w:val="22"/>
          <w:szCs w:val="22"/>
          <w:lang w:val="es-AR"/>
        </w:rPr>
        <w:t xml:space="preserve"> de </w:t>
      </w:r>
      <w:smartTag w:uri="urn:schemas-microsoft-com:office:smarttags" w:element="PersonName">
        <w:smartTagPr>
          <w:attr w:name="ProductID" w:val="la Provincia"/>
        </w:smartTagPr>
        <w:r w:rsidRPr="000F7B4E">
          <w:rPr>
            <w:rFonts w:ascii="Bookman Old Style" w:hAnsi="Bookman Old Style"/>
            <w:sz w:val="22"/>
            <w:szCs w:val="22"/>
            <w:lang w:val="es-AR"/>
          </w:rPr>
          <w:t>la Provincia</w:t>
        </w:r>
      </w:smartTag>
      <w:r w:rsidRPr="000F7B4E">
        <w:rPr>
          <w:rFonts w:ascii="Bookman Old Style" w:hAnsi="Bookman Old Style"/>
          <w:sz w:val="22"/>
          <w:szCs w:val="22"/>
          <w:lang w:val="es-AR"/>
        </w:rPr>
        <w:t xml:space="preserve"> de Entre Ríos y </w:t>
      </w:r>
      <w:smartTag w:uri="urn:schemas-microsoft-com:office:smarttags" w:element="PersonName">
        <w:smartTagPr>
          <w:attr w:name="ProductID" w:val="la Defensoría General"/>
        </w:smartTagPr>
        <w:r w:rsidRPr="000F7B4E">
          <w:rPr>
            <w:rFonts w:ascii="Bookman Old Style" w:hAnsi="Bookman Old Style"/>
            <w:sz w:val="22"/>
            <w:szCs w:val="22"/>
            <w:lang w:val="es-AR"/>
          </w:rPr>
          <w:t>la Defensoría General</w:t>
        </w:r>
      </w:smartTag>
      <w:r w:rsidRPr="000F7B4E">
        <w:rPr>
          <w:rFonts w:ascii="Bookman Old Style" w:hAnsi="Bookman Old Style"/>
          <w:sz w:val="22"/>
          <w:szCs w:val="22"/>
          <w:lang w:val="es-AR"/>
        </w:rPr>
        <w:t xml:space="preserve"> del Pueblo, en cualquiera de sus niveles, no pueden integrar, ya sea como directivos, síndicos o controladores internos, de cualquier organismo, sea</w:t>
      </w:r>
      <w:r>
        <w:rPr>
          <w:rFonts w:ascii="Bookman Old Style" w:hAnsi="Bookman Old Style"/>
          <w:sz w:val="22"/>
          <w:szCs w:val="22"/>
          <w:lang w:val="es-AR"/>
        </w:rPr>
        <w:t>n</w:t>
      </w:r>
      <w:r w:rsidRPr="000F7B4E">
        <w:rPr>
          <w:rFonts w:ascii="Bookman Old Style" w:hAnsi="Bookman Old Style"/>
          <w:sz w:val="22"/>
          <w:szCs w:val="22"/>
          <w:lang w:val="es-AR"/>
        </w:rPr>
        <w:t xml:space="preserve"> ést</w:t>
      </w:r>
      <w:r>
        <w:rPr>
          <w:rFonts w:ascii="Bookman Old Style" w:hAnsi="Bookman Old Style"/>
          <w:sz w:val="22"/>
          <w:szCs w:val="22"/>
          <w:lang w:val="es-AR"/>
        </w:rPr>
        <w:t>os</w:t>
      </w:r>
      <w:r w:rsidRPr="000F7B4E">
        <w:rPr>
          <w:rFonts w:ascii="Bookman Old Style" w:hAnsi="Bookman Old Style"/>
          <w:sz w:val="22"/>
          <w:szCs w:val="22"/>
          <w:lang w:val="es-AR"/>
        </w:rPr>
        <w:t xml:space="preserve"> dependiente</w:t>
      </w:r>
      <w:r>
        <w:rPr>
          <w:rFonts w:ascii="Bookman Old Style" w:hAnsi="Bookman Old Style"/>
          <w:sz w:val="22"/>
          <w:szCs w:val="22"/>
          <w:lang w:val="es-AR"/>
        </w:rPr>
        <w:t>s</w:t>
      </w:r>
      <w:r w:rsidRPr="000F7B4E">
        <w:rPr>
          <w:rFonts w:ascii="Bookman Old Style" w:hAnsi="Bookman Old Style"/>
          <w:sz w:val="22"/>
          <w:szCs w:val="22"/>
          <w:lang w:val="es-AR"/>
        </w:rPr>
        <w:t xml:space="preserve"> de los Poderes Legislativo, Ejecutivo o Judicial, ni de los entes autárquicos, </w:t>
      </w:r>
      <w:r>
        <w:rPr>
          <w:rFonts w:ascii="Bookman Old Style" w:hAnsi="Bookman Old Style"/>
          <w:sz w:val="22"/>
          <w:szCs w:val="22"/>
          <w:lang w:val="es-AR"/>
        </w:rPr>
        <w:t xml:space="preserve">de los mismos, </w:t>
      </w:r>
      <w:r w:rsidRPr="000F7B4E">
        <w:rPr>
          <w:rFonts w:ascii="Bookman Old Style" w:hAnsi="Bookman Old Style"/>
          <w:sz w:val="22"/>
          <w:szCs w:val="22"/>
          <w:lang w:val="es-AR"/>
        </w:rPr>
        <w:t xml:space="preserve">empresas y sociedades del Estado Provincial, en cualquiera de sus formas, </w:t>
      </w:r>
      <w:r>
        <w:rPr>
          <w:rFonts w:ascii="Bookman Old Style" w:hAnsi="Bookman Old Style"/>
          <w:sz w:val="22"/>
          <w:szCs w:val="22"/>
          <w:lang w:val="es-AR"/>
        </w:rPr>
        <w:t xml:space="preserve">sean éstas </w:t>
      </w:r>
      <w:r w:rsidRPr="000F7B4E">
        <w:rPr>
          <w:rFonts w:ascii="Bookman Old Style" w:hAnsi="Bookman Old Style"/>
          <w:sz w:val="22"/>
          <w:szCs w:val="22"/>
          <w:lang w:val="es-AR"/>
        </w:rPr>
        <w:t xml:space="preserve">anónimas o de otro tipo, </w:t>
      </w:r>
      <w:r>
        <w:rPr>
          <w:rFonts w:ascii="Bookman Old Style" w:hAnsi="Bookman Old Style"/>
          <w:sz w:val="22"/>
          <w:szCs w:val="22"/>
          <w:lang w:val="es-AR"/>
        </w:rPr>
        <w:t xml:space="preserve">o </w:t>
      </w:r>
      <w:r w:rsidRPr="000F7B4E">
        <w:rPr>
          <w:rFonts w:ascii="Bookman Old Style" w:hAnsi="Bookman Old Style"/>
          <w:sz w:val="22"/>
          <w:szCs w:val="22"/>
          <w:lang w:val="es-AR"/>
        </w:rPr>
        <w:t>con participación estatal mayoritaria o minoritaria.-</w:t>
      </w:r>
    </w:p>
    <w:p w:rsidR="000F7B4E" w:rsidRPr="000F7B4E" w:rsidRDefault="000F7B4E" w:rsidP="000F7B4E">
      <w:pPr>
        <w:spacing w:line="480" w:lineRule="auto"/>
        <w:jc w:val="both"/>
        <w:rPr>
          <w:rFonts w:ascii="Bookman Old Style" w:hAnsi="Bookman Old Style"/>
          <w:sz w:val="22"/>
          <w:szCs w:val="22"/>
          <w:lang w:val="es-AR"/>
        </w:rPr>
      </w:pPr>
      <w:r w:rsidRPr="000F7B4E">
        <w:rPr>
          <w:rFonts w:ascii="Bookman Old Style" w:hAnsi="Bookman Old Style"/>
          <w:b/>
          <w:sz w:val="22"/>
          <w:szCs w:val="22"/>
          <w:u w:val="single"/>
          <w:lang w:val="es-AR"/>
        </w:rPr>
        <w:t>Artículo 2º</w:t>
      </w:r>
      <w:r w:rsidRPr="000F7B4E">
        <w:rPr>
          <w:rFonts w:ascii="Bookman Old Style" w:hAnsi="Bookman Old Style"/>
          <w:sz w:val="22"/>
          <w:szCs w:val="22"/>
          <w:lang w:val="es-AR"/>
        </w:rPr>
        <w:t>: Los que estuvieran comprendidos en la situación contemplada en el artículo anterior</w:t>
      </w:r>
      <w:r>
        <w:rPr>
          <w:rFonts w:ascii="Bookman Old Style" w:hAnsi="Bookman Old Style"/>
          <w:sz w:val="22"/>
          <w:szCs w:val="22"/>
          <w:lang w:val="es-AR"/>
        </w:rPr>
        <w:t xml:space="preserve">, </w:t>
      </w:r>
      <w:r w:rsidRPr="000F7B4E">
        <w:rPr>
          <w:rFonts w:ascii="Bookman Old Style" w:hAnsi="Bookman Old Style"/>
          <w:sz w:val="22"/>
          <w:szCs w:val="22"/>
          <w:lang w:val="es-AR"/>
        </w:rPr>
        <w:t xml:space="preserve">cesarán automáticamente en sus funciones al entrar en vigencia la </w:t>
      </w:r>
      <w:r>
        <w:rPr>
          <w:rFonts w:ascii="Bookman Old Style" w:hAnsi="Bookman Old Style"/>
          <w:sz w:val="22"/>
          <w:szCs w:val="22"/>
          <w:lang w:val="es-AR"/>
        </w:rPr>
        <w:t xml:space="preserve">presente </w:t>
      </w:r>
      <w:proofErr w:type="gramStart"/>
      <w:r>
        <w:rPr>
          <w:rFonts w:ascii="Bookman Old Style" w:hAnsi="Bookman Old Style"/>
          <w:sz w:val="22"/>
          <w:szCs w:val="22"/>
          <w:lang w:val="es-AR"/>
        </w:rPr>
        <w:t>ley</w:t>
      </w:r>
      <w:r w:rsidRPr="000F7B4E">
        <w:rPr>
          <w:rFonts w:ascii="Bookman Old Style" w:hAnsi="Bookman Old Style"/>
          <w:sz w:val="22"/>
          <w:szCs w:val="22"/>
          <w:lang w:val="es-AR"/>
        </w:rPr>
        <w:t>.-</w:t>
      </w:r>
      <w:proofErr w:type="gramEnd"/>
      <w:r w:rsidRPr="000F7B4E">
        <w:rPr>
          <w:rFonts w:ascii="Bookman Old Style" w:hAnsi="Bookman Old Style"/>
          <w:sz w:val="22"/>
          <w:szCs w:val="22"/>
          <w:lang w:val="es-AR"/>
        </w:rPr>
        <w:t xml:space="preserve"> </w:t>
      </w:r>
    </w:p>
    <w:p w:rsidR="000F7B4E" w:rsidRPr="000F7B4E" w:rsidRDefault="000F7B4E" w:rsidP="000F7B4E">
      <w:pPr>
        <w:spacing w:line="480" w:lineRule="auto"/>
        <w:jc w:val="both"/>
        <w:rPr>
          <w:rFonts w:ascii="Bookman Old Style" w:hAnsi="Bookman Old Style"/>
          <w:sz w:val="22"/>
          <w:szCs w:val="22"/>
          <w:lang w:val="es-AR"/>
        </w:rPr>
      </w:pPr>
      <w:r w:rsidRPr="000F7B4E">
        <w:rPr>
          <w:rFonts w:ascii="Bookman Old Style" w:hAnsi="Bookman Old Style"/>
          <w:b/>
          <w:sz w:val="22"/>
          <w:szCs w:val="22"/>
          <w:u w:val="single"/>
          <w:lang w:val="es-AR"/>
        </w:rPr>
        <w:t>Artículo 3º</w:t>
      </w:r>
      <w:r w:rsidRPr="000F7B4E">
        <w:rPr>
          <w:rFonts w:ascii="Bookman Old Style" w:hAnsi="Bookman Old Style"/>
          <w:sz w:val="22"/>
          <w:szCs w:val="22"/>
          <w:lang w:val="es-AR"/>
        </w:rPr>
        <w:t xml:space="preserve">: de forma </w:t>
      </w:r>
    </w:p>
    <w:p w:rsidR="001545D6" w:rsidRPr="000F7B4E" w:rsidRDefault="001545D6" w:rsidP="000F7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rPr>
      </w:pPr>
    </w:p>
    <w:sectPr w:rsidR="001545D6" w:rsidRPr="000F7B4E" w:rsidSect="000F7B4E">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46C" w:rsidRDefault="00AF546C">
      <w:pPr>
        <w:spacing w:line="20" w:lineRule="exact"/>
        <w:rPr>
          <w:sz w:val="24"/>
        </w:rPr>
      </w:pPr>
    </w:p>
  </w:endnote>
  <w:endnote w:type="continuationSeparator" w:id="0">
    <w:p w:rsidR="00AF546C" w:rsidRDefault="00AF546C">
      <w:r>
        <w:rPr>
          <w:sz w:val="24"/>
        </w:rPr>
        <w:t xml:space="preserve"> </w:t>
      </w:r>
    </w:p>
  </w:endnote>
  <w:endnote w:type="continuationNotice" w:id="1">
    <w:p w:rsidR="00AF546C" w:rsidRDefault="00AF54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46C" w:rsidRDefault="00AF546C">
      <w:r>
        <w:rPr>
          <w:sz w:val="24"/>
        </w:rPr>
        <w:separator/>
      </w:r>
    </w:p>
  </w:footnote>
  <w:footnote w:type="continuationSeparator" w:id="0">
    <w:p w:rsidR="00AF546C" w:rsidRDefault="00AF5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11063"/>
    <w:rsid w:val="00026749"/>
    <w:rsid w:val="00044E9D"/>
    <w:rsid w:val="00096C04"/>
    <w:rsid w:val="000B3A04"/>
    <w:rsid w:val="000C6771"/>
    <w:rsid w:val="000D2D82"/>
    <w:rsid w:val="000D5590"/>
    <w:rsid w:val="000F2036"/>
    <w:rsid w:val="000F268D"/>
    <w:rsid w:val="000F7B4E"/>
    <w:rsid w:val="00107B28"/>
    <w:rsid w:val="00151613"/>
    <w:rsid w:val="001545D6"/>
    <w:rsid w:val="001632CC"/>
    <w:rsid w:val="0018488E"/>
    <w:rsid w:val="00196F8E"/>
    <w:rsid w:val="001A59ED"/>
    <w:rsid w:val="001B2437"/>
    <w:rsid w:val="001D1F0B"/>
    <w:rsid w:val="001D29D0"/>
    <w:rsid w:val="0020245D"/>
    <w:rsid w:val="00203366"/>
    <w:rsid w:val="0021582A"/>
    <w:rsid w:val="002238A0"/>
    <w:rsid w:val="00233EB2"/>
    <w:rsid w:val="00234C7E"/>
    <w:rsid w:val="00253C73"/>
    <w:rsid w:val="00263AC3"/>
    <w:rsid w:val="002651FB"/>
    <w:rsid w:val="00294163"/>
    <w:rsid w:val="002973EF"/>
    <w:rsid w:val="002B76EF"/>
    <w:rsid w:val="002D2C8E"/>
    <w:rsid w:val="00320D3A"/>
    <w:rsid w:val="003373A8"/>
    <w:rsid w:val="004043F5"/>
    <w:rsid w:val="0041545D"/>
    <w:rsid w:val="00420779"/>
    <w:rsid w:val="00441490"/>
    <w:rsid w:val="004A52E3"/>
    <w:rsid w:val="004D3C64"/>
    <w:rsid w:val="004D3CE4"/>
    <w:rsid w:val="005008E6"/>
    <w:rsid w:val="005031FD"/>
    <w:rsid w:val="00575BCD"/>
    <w:rsid w:val="00576EF2"/>
    <w:rsid w:val="005823B8"/>
    <w:rsid w:val="0058364D"/>
    <w:rsid w:val="00595C08"/>
    <w:rsid w:val="005E4A61"/>
    <w:rsid w:val="005E7783"/>
    <w:rsid w:val="005F73AB"/>
    <w:rsid w:val="00620877"/>
    <w:rsid w:val="00625C24"/>
    <w:rsid w:val="00653455"/>
    <w:rsid w:val="006C52C4"/>
    <w:rsid w:val="006E5D4A"/>
    <w:rsid w:val="006F4300"/>
    <w:rsid w:val="00730CA0"/>
    <w:rsid w:val="00731E84"/>
    <w:rsid w:val="0074733E"/>
    <w:rsid w:val="00782270"/>
    <w:rsid w:val="007D5578"/>
    <w:rsid w:val="007D6CF6"/>
    <w:rsid w:val="00805CEF"/>
    <w:rsid w:val="00826EE2"/>
    <w:rsid w:val="0082700B"/>
    <w:rsid w:val="008443CC"/>
    <w:rsid w:val="00870859"/>
    <w:rsid w:val="0089035E"/>
    <w:rsid w:val="008A7421"/>
    <w:rsid w:val="008C6FFE"/>
    <w:rsid w:val="009534C2"/>
    <w:rsid w:val="00973D2C"/>
    <w:rsid w:val="00985392"/>
    <w:rsid w:val="009F4091"/>
    <w:rsid w:val="00AA104F"/>
    <w:rsid w:val="00AA4C37"/>
    <w:rsid w:val="00AA6918"/>
    <w:rsid w:val="00AB24CD"/>
    <w:rsid w:val="00AD39A4"/>
    <w:rsid w:val="00AE5B1B"/>
    <w:rsid w:val="00AE783B"/>
    <w:rsid w:val="00AE7A6E"/>
    <w:rsid w:val="00AF2572"/>
    <w:rsid w:val="00AF3628"/>
    <w:rsid w:val="00AF546C"/>
    <w:rsid w:val="00AF7DD5"/>
    <w:rsid w:val="00B06623"/>
    <w:rsid w:val="00B461FC"/>
    <w:rsid w:val="00B51931"/>
    <w:rsid w:val="00B71A5C"/>
    <w:rsid w:val="00BB46BC"/>
    <w:rsid w:val="00C4109E"/>
    <w:rsid w:val="00C70ADE"/>
    <w:rsid w:val="00CA2AEE"/>
    <w:rsid w:val="00CA333F"/>
    <w:rsid w:val="00D103CA"/>
    <w:rsid w:val="00D10703"/>
    <w:rsid w:val="00D21813"/>
    <w:rsid w:val="00D46724"/>
    <w:rsid w:val="00D51920"/>
    <w:rsid w:val="00D6691C"/>
    <w:rsid w:val="00D968D1"/>
    <w:rsid w:val="00DA6312"/>
    <w:rsid w:val="00DC62E4"/>
    <w:rsid w:val="00DD0CD1"/>
    <w:rsid w:val="00DD7225"/>
    <w:rsid w:val="00DE6897"/>
    <w:rsid w:val="00DF734E"/>
    <w:rsid w:val="00E32C9A"/>
    <w:rsid w:val="00E4186F"/>
    <w:rsid w:val="00E57B34"/>
    <w:rsid w:val="00E65E11"/>
    <w:rsid w:val="00E8413A"/>
    <w:rsid w:val="00E85B2A"/>
    <w:rsid w:val="00EF7FCF"/>
    <w:rsid w:val="00F0403B"/>
    <w:rsid w:val="00F45ED6"/>
    <w:rsid w:val="00F63EFF"/>
    <w:rsid w:val="00F8214C"/>
    <w:rsid w:val="00F91189"/>
    <w:rsid w:val="00FB0105"/>
    <w:rsid w:val="00FB2BC4"/>
    <w:rsid w:val="00FD4D74"/>
    <w:rsid w:val="00FD6079"/>
    <w:rsid w:val="00FE6004"/>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67BC868-12E1-42CB-9905-ADC40E6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2</cp:revision>
  <cp:lastPrinted>2018-04-17T13:51:00Z</cp:lastPrinted>
  <dcterms:created xsi:type="dcterms:W3CDTF">2018-06-27T12:09:00Z</dcterms:created>
  <dcterms:modified xsi:type="dcterms:W3CDTF">2018-06-27T12:09:00Z</dcterms:modified>
</cp:coreProperties>
</file>