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F5" w:rsidRDefault="003E53AF">
      <w:pPr>
        <w:spacing w:after="120" w:line="360" w:lineRule="auto"/>
        <w:jc w:val="center"/>
        <w:rPr>
          <w:rFonts w:ascii="Garamond" w:eastAsia="Garamond" w:hAnsi="Garamond" w:cs="Garamond"/>
          <w:color w:val="000000"/>
          <w:sz w:val="24"/>
          <w:szCs w:val="24"/>
        </w:rPr>
      </w:pPr>
      <w:bookmarkStart w:id="0" w:name="_GoBack"/>
      <w:bookmarkEnd w:id="0"/>
      <w:r>
        <w:rPr>
          <w:rFonts w:ascii="Garamond" w:eastAsia="Garamond" w:hAnsi="Garamond" w:cs="Garamond"/>
          <w:b/>
          <w:color w:val="000000"/>
          <w:sz w:val="24"/>
          <w:szCs w:val="24"/>
        </w:rPr>
        <w:t>PROYECTO DE LEY</w:t>
      </w:r>
      <w:r>
        <w:rPr>
          <w:rFonts w:ascii="Garamond" w:eastAsia="Garamond" w:hAnsi="Garamond" w:cs="Garamond"/>
          <w:color w:val="000000"/>
          <w:sz w:val="24"/>
          <w:szCs w:val="24"/>
        </w:rPr>
        <w:t xml:space="preserve"> </w:t>
      </w:r>
    </w:p>
    <w:p w:rsidR="00AC08F5" w:rsidRDefault="003E53AF">
      <w:pPr>
        <w:spacing w:after="120"/>
        <w:ind w:hanging="2"/>
        <w:jc w:val="both"/>
        <w:rPr>
          <w:rFonts w:ascii="Garamond" w:eastAsia="Garamond" w:hAnsi="Garamond" w:cs="Garamond"/>
          <w:sz w:val="24"/>
          <w:szCs w:val="24"/>
        </w:rPr>
      </w:pPr>
      <w:r>
        <w:rPr>
          <w:rFonts w:ascii="Garamond" w:eastAsia="Garamond" w:hAnsi="Garamond" w:cs="Garamond"/>
          <w:b/>
          <w:color w:val="000000"/>
          <w:sz w:val="24"/>
          <w:szCs w:val="24"/>
          <w:u w:val="single"/>
        </w:rPr>
        <w:t>Autor</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Lucas </w:t>
      </w:r>
      <w:proofErr w:type="spellStart"/>
      <w:r>
        <w:rPr>
          <w:rFonts w:ascii="Garamond" w:eastAsia="Garamond" w:hAnsi="Garamond" w:cs="Garamond"/>
          <w:color w:val="000000"/>
          <w:sz w:val="24"/>
          <w:szCs w:val="24"/>
        </w:rPr>
        <w:t>Larrarte</w:t>
      </w:r>
      <w:proofErr w:type="spellEnd"/>
      <w:r>
        <w:rPr>
          <w:rFonts w:ascii="Garamond" w:eastAsia="Garamond" w:hAnsi="Garamond" w:cs="Garamond"/>
          <w:sz w:val="24"/>
          <w:szCs w:val="24"/>
        </w:rPr>
        <w:t>.</w:t>
      </w:r>
    </w:p>
    <w:p w:rsidR="00AC08F5" w:rsidRDefault="003E53AF">
      <w:pPr>
        <w:spacing w:after="120"/>
        <w:ind w:hanging="2"/>
        <w:jc w:val="both"/>
        <w:rPr>
          <w:rFonts w:ascii="Garamond" w:eastAsia="Garamond" w:hAnsi="Garamond" w:cs="Garamond"/>
          <w:sz w:val="24"/>
          <w:szCs w:val="24"/>
        </w:rPr>
      </w:pPr>
      <w:r>
        <w:rPr>
          <w:rFonts w:ascii="Garamond" w:eastAsia="Garamond" w:hAnsi="Garamond" w:cs="Garamond"/>
          <w:b/>
          <w:sz w:val="24"/>
          <w:szCs w:val="24"/>
          <w:u w:val="single"/>
        </w:rPr>
        <w:t>Coautores</w:t>
      </w:r>
      <w:r>
        <w:rPr>
          <w:rFonts w:ascii="Garamond" w:eastAsia="Garamond" w:hAnsi="Garamond" w:cs="Garamond"/>
          <w:sz w:val="24"/>
          <w:szCs w:val="24"/>
        </w:rPr>
        <w:t xml:space="preserve">: Daniel Horacio Olano y René Alcides </w:t>
      </w:r>
      <w:proofErr w:type="spellStart"/>
      <w:r>
        <w:rPr>
          <w:rFonts w:ascii="Garamond" w:eastAsia="Garamond" w:hAnsi="Garamond" w:cs="Garamond"/>
          <w:sz w:val="24"/>
          <w:szCs w:val="24"/>
        </w:rPr>
        <w:t>Bonato</w:t>
      </w:r>
      <w:proofErr w:type="spellEnd"/>
      <w:r>
        <w:rPr>
          <w:rFonts w:ascii="Garamond" w:eastAsia="Garamond" w:hAnsi="Garamond" w:cs="Garamond"/>
          <w:sz w:val="24"/>
          <w:szCs w:val="24"/>
        </w:rPr>
        <w:t>.</w:t>
      </w:r>
    </w:p>
    <w:p w:rsidR="00AC08F5" w:rsidRDefault="003E53AF">
      <w:pPr>
        <w:spacing w:after="120"/>
        <w:ind w:hanging="2"/>
        <w:jc w:val="both"/>
        <w:rPr>
          <w:rFonts w:ascii="Garamond" w:eastAsia="Garamond" w:hAnsi="Garamond" w:cs="Garamond"/>
          <w:sz w:val="24"/>
          <w:szCs w:val="24"/>
        </w:rPr>
      </w:pPr>
      <w:r>
        <w:rPr>
          <w:rFonts w:ascii="Garamond" w:eastAsia="Garamond" w:hAnsi="Garamond" w:cs="Garamond"/>
          <w:b/>
          <w:color w:val="000000"/>
          <w:sz w:val="24"/>
          <w:szCs w:val="24"/>
          <w:u w:val="single"/>
        </w:rPr>
        <w:t>Objeto</w:t>
      </w:r>
      <w:r>
        <w:rPr>
          <w:rFonts w:ascii="Garamond" w:eastAsia="Garamond" w:hAnsi="Garamond" w:cs="Garamond"/>
          <w:b/>
          <w:color w:val="000000"/>
          <w:sz w:val="24"/>
          <w:szCs w:val="24"/>
        </w:rPr>
        <w:t xml:space="preserve">: </w:t>
      </w:r>
      <w:r>
        <w:rPr>
          <w:rFonts w:ascii="Garamond" w:eastAsia="Garamond" w:hAnsi="Garamond" w:cs="Garamond"/>
          <w:sz w:val="24"/>
          <w:szCs w:val="24"/>
        </w:rPr>
        <w:t>Establecer un marco jurídico para el recupero de los fondos invertidos por la provincia de Entre Ríos, en la atención de pacientes que no cuenten con cobertura social, víctimas de accidentes viales, en efectores de salud del sector público provincial, cont</w:t>
      </w:r>
      <w:r>
        <w:rPr>
          <w:rFonts w:ascii="Garamond" w:eastAsia="Garamond" w:hAnsi="Garamond" w:cs="Garamond"/>
          <w:sz w:val="24"/>
          <w:szCs w:val="24"/>
        </w:rPr>
        <w:t>ra aseguradoras autorizadas por la Superintendencia de Seguros de la Nación.</w:t>
      </w:r>
    </w:p>
    <w:p w:rsidR="00AC08F5" w:rsidRDefault="00AC08F5">
      <w:pPr>
        <w:spacing w:before="100" w:after="120"/>
        <w:ind w:right="60"/>
        <w:jc w:val="center"/>
        <w:rPr>
          <w:rFonts w:ascii="Garamond" w:eastAsia="Garamond" w:hAnsi="Garamond" w:cs="Garamond"/>
          <w:b/>
          <w:sz w:val="24"/>
          <w:szCs w:val="24"/>
          <w:highlight w:val="white"/>
        </w:rPr>
      </w:pPr>
    </w:p>
    <w:p w:rsidR="00AC08F5" w:rsidRDefault="003E53AF">
      <w:pPr>
        <w:spacing w:before="100" w:after="120"/>
        <w:ind w:right="60"/>
        <w:jc w:val="center"/>
        <w:rPr>
          <w:rFonts w:ascii="Garamond" w:eastAsia="Garamond" w:hAnsi="Garamond" w:cs="Garamond"/>
          <w:color w:val="000000"/>
          <w:sz w:val="24"/>
          <w:szCs w:val="24"/>
          <w:highlight w:val="white"/>
        </w:rPr>
      </w:pPr>
      <w:r>
        <w:rPr>
          <w:rFonts w:ascii="Garamond" w:eastAsia="Garamond" w:hAnsi="Garamond" w:cs="Garamond"/>
          <w:b/>
          <w:color w:val="000000"/>
          <w:sz w:val="24"/>
          <w:szCs w:val="24"/>
          <w:highlight w:val="white"/>
        </w:rPr>
        <w:t>FUNDAMENTOS</w:t>
      </w:r>
    </w:p>
    <w:p w:rsidR="00AC08F5" w:rsidRDefault="003E53AF">
      <w:pPr>
        <w:spacing w:before="100" w:after="120"/>
        <w:ind w:left="6" w:right="60"/>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Señor Presidente:</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Los Hospitales, Centros de Asistenciales y efectores de salud de la Provincia de Entre Ríos brindan asistencia gratuita a toda la población, sin perjuicio de tramitar luego el recupero de los gastos hospitalarios sobre la atención dada a pacientes que cuen</w:t>
      </w:r>
      <w:r>
        <w:rPr>
          <w:rFonts w:ascii="Garamond" w:eastAsia="Garamond" w:hAnsi="Garamond" w:cs="Garamond"/>
          <w:sz w:val="24"/>
          <w:szCs w:val="24"/>
        </w:rPr>
        <w:t>tan con cobertura.</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Las personas que cuentan con cobertura social, como así también seguros por accidentes de tránsito, pueden reportar una importante suma de dinero que podría volver al Estado mediante el sistema de arancelamiento, que le permite a los efe</w:t>
      </w:r>
      <w:r>
        <w:rPr>
          <w:rFonts w:ascii="Garamond" w:eastAsia="Garamond" w:hAnsi="Garamond" w:cs="Garamond"/>
          <w:sz w:val="24"/>
          <w:szCs w:val="24"/>
        </w:rPr>
        <w:t>ctores públicos recuperar los montos invertidos en la atención de pacientes para beneficio directo de las unidades asistenciales y trabajadores de los mismos.</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El sistema de arancelamiento previsto en el Decreto 4255/2010 MS es el que posibilita facturar di</w:t>
      </w:r>
      <w:r>
        <w:rPr>
          <w:rFonts w:ascii="Garamond" w:eastAsia="Garamond" w:hAnsi="Garamond" w:cs="Garamond"/>
          <w:sz w:val="24"/>
          <w:szCs w:val="24"/>
        </w:rPr>
        <w:t xml:space="preserve">rectamente a las obras sociales y demás prestadoras por las prácticas que se realizan a sus beneficiarios, con lo cual se recuperan las inversiones, en todo en parte </w:t>
      </w:r>
      <w:proofErr w:type="spellStart"/>
      <w:r>
        <w:rPr>
          <w:rFonts w:ascii="Garamond" w:eastAsia="Garamond" w:hAnsi="Garamond" w:cs="Garamond"/>
          <w:sz w:val="24"/>
          <w:szCs w:val="24"/>
        </w:rPr>
        <w:t>parte</w:t>
      </w:r>
      <w:proofErr w:type="spellEnd"/>
      <w:r>
        <w:rPr>
          <w:rFonts w:ascii="Garamond" w:eastAsia="Garamond" w:hAnsi="Garamond" w:cs="Garamond"/>
          <w:sz w:val="24"/>
          <w:szCs w:val="24"/>
        </w:rPr>
        <w:t>. Estos fondos se vuelcan nuevamente al sistema de salud pública.</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Ahora bien, en razó</w:t>
      </w:r>
      <w:r>
        <w:rPr>
          <w:rFonts w:ascii="Garamond" w:eastAsia="Garamond" w:hAnsi="Garamond" w:cs="Garamond"/>
          <w:sz w:val="24"/>
          <w:szCs w:val="24"/>
        </w:rPr>
        <w:t xml:space="preserve">n de recientes normas regulatorias sobre </w:t>
      </w:r>
      <w:proofErr w:type="spellStart"/>
      <w:r>
        <w:rPr>
          <w:rFonts w:ascii="Garamond" w:eastAsia="Garamond" w:hAnsi="Garamond" w:cs="Garamond"/>
          <w:sz w:val="24"/>
          <w:szCs w:val="24"/>
        </w:rPr>
        <w:t>recuperos</w:t>
      </w:r>
      <w:proofErr w:type="spellEnd"/>
      <w:r>
        <w:rPr>
          <w:rFonts w:ascii="Garamond" w:eastAsia="Garamond" w:hAnsi="Garamond" w:cs="Garamond"/>
          <w:sz w:val="24"/>
          <w:szCs w:val="24"/>
        </w:rPr>
        <w:t xml:space="preserve"> emanadas de la Superintendencia de Seguros de la Nación, este proyecto tiende a establecer un mecanismo para que la Provincia pueda recuperar la inversión en salud que, a través de los hospitales públicos </w:t>
      </w:r>
      <w:r>
        <w:rPr>
          <w:rFonts w:ascii="Garamond" w:eastAsia="Garamond" w:hAnsi="Garamond" w:cs="Garamond"/>
          <w:sz w:val="24"/>
          <w:szCs w:val="24"/>
        </w:rPr>
        <w:t>y los efectores de salud, el Estado entrerriano realiza en la atención a las víctimas de accidentes viales que no tienen cobertura social.</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Todos sabemos que la atención en los hospitales implica una serie de inversiones quirúrgicas, de farmacia, insumos, h</w:t>
      </w:r>
      <w:r>
        <w:rPr>
          <w:rFonts w:ascii="Garamond" w:eastAsia="Garamond" w:hAnsi="Garamond" w:cs="Garamond"/>
          <w:sz w:val="24"/>
          <w:szCs w:val="24"/>
        </w:rPr>
        <w:t>onorarios médicos, prótesis, y otras erogaciones que implican el cuidado de pacientes. Igualmente, sabemos, que la mayoría de las personas que sufren un accidente vial son derivadas a un efector de salud pública, y entre ellas existe un importante porcenta</w:t>
      </w:r>
      <w:r>
        <w:rPr>
          <w:rFonts w:ascii="Garamond" w:eastAsia="Garamond" w:hAnsi="Garamond" w:cs="Garamond"/>
          <w:sz w:val="24"/>
          <w:szCs w:val="24"/>
        </w:rPr>
        <w:t xml:space="preserve">je que no cuentan con cobertura social.  </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 xml:space="preserve">Si bien los hospitales públicos cuentan con un sistema de arancelamiento para recuperar la inversión en salud en la asistencia de aquellas personas que cuentan con </w:t>
      </w:r>
      <w:r>
        <w:rPr>
          <w:rFonts w:ascii="Garamond" w:eastAsia="Garamond" w:hAnsi="Garamond" w:cs="Garamond"/>
          <w:sz w:val="24"/>
          <w:szCs w:val="24"/>
        </w:rPr>
        <w:lastRenderedPageBreak/>
        <w:t>cobertura social, no sucede lo mismo en aquellos c</w:t>
      </w:r>
      <w:r>
        <w:rPr>
          <w:rFonts w:ascii="Garamond" w:eastAsia="Garamond" w:hAnsi="Garamond" w:cs="Garamond"/>
          <w:sz w:val="24"/>
          <w:szCs w:val="24"/>
        </w:rPr>
        <w:t xml:space="preserve">asos de pacientes que no poseen ningún tipo de cobertura médica, pero que considerando la causa de sus lesiones, en orden a la normativa legal vigente, permiten exigir el pago a las compañías aseguradoras que amparan a los vehículos que están involucrados </w:t>
      </w:r>
      <w:r>
        <w:rPr>
          <w:rFonts w:ascii="Garamond" w:eastAsia="Garamond" w:hAnsi="Garamond" w:cs="Garamond"/>
          <w:sz w:val="24"/>
          <w:szCs w:val="24"/>
        </w:rPr>
        <w:t>en el siniestro.</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Es por ello que creemos necesario crear un sistema que le permita al Ministerio de Salud arbitrar los medios, extrajudiciales y/o judiciales, para la recuperación de lo invertido por la Provincia, en la atención de aquellos pacientes de ac</w:t>
      </w:r>
      <w:r>
        <w:rPr>
          <w:rFonts w:ascii="Garamond" w:eastAsia="Garamond" w:hAnsi="Garamond" w:cs="Garamond"/>
          <w:sz w:val="24"/>
          <w:szCs w:val="24"/>
        </w:rPr>
        <w:t>cidentes viales que no poseen obra social.</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En tal sentido, es indispensable crear herramientas jurídicas para que el Ministerio de Salud y la Fiscalía de Estado, conforme a sus normativas, puedan tramitar las acciones de recupero de los fondos invertidos.</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 xml:space="preserve">En este tema no se puede perder de vista que la Superintendencia de Seguros de la Nación dictó la Resolución N° 271/2018 (B.O. 19/03/2018), brindando un nuevo marco a este tipo de procedimientos. Con dicha norma se crea un formulario tipo para el recupero </w:t>
      </w:r>
      <w:r>
        <w:rPr>
          <w:rFonts w:ascii="Garamond" w:eastAsia="Garamond" w:hAnsi="Garamond" w:cs="Garamond"/>
          <w:sz w:val="24"/>
          <w:szCs w:val="24"/>
        </w:rPr>
        <w:t xml:space="preserve">del dinero que deberían abonar las Aseguradoras en forma inmediata en concepto de “Obligación Legal Autónoma” de conformidad con el artículo 68 de la Ley Nacional de Tránsito, en cuanto establece que las Aseguradoras tienen obligación de cubrir los gastos </w:t>
      </w:r>
      <w:r>
        <w:rPr>
          <w:rFonts w:ascii="Garamond" w:eastAsia="Garamond" w:hAnsi="Garamond" w:cs="Garamond"/>
          <w:sz w:val="24"/>
          <w:szCs w:val="24"/>
        </w:rPr>
        <w:t>sanatoriales y de sepelio que deban afrontar las personas que resulten víctimas en un accidente de tránsito, sin necesidad de tenerse probada la responsabilidad del Asegurado.</w:t>
      </w:r>
    </w:p>
    <w:p w:rsidR="00AC08F5" w:rsidRDefault="003E53AF">
      <w:pPr>
        <w:spacing w:before="100" w:after="120"/>
        <w:ind w:left="6" w:right="60" w:firstLine="714"/>
        <w:jc w:val="both"/>
        <w:rPr>
          <w:rFonts w:ascii="Garamond" w:eastAsia="Garamond" w:hAnsi="Garamond" w:cs="Garamond"/>
          <w:sz w:val="24"/>
          <w:szCs w:val="24"/>
        </w:rPr>
      </w:pPr>
      <w:r>
        <w:rPr>
          <w:rFonts w:ascii="Garamond" w:eastAsia="Garamond" w:hAnsi="Garamond" w:cs="Garamond"/>
          <w:sz w:val="24"/>
          <w:szCs w:val="24"/>
        </w:rPr>
        <w:t>Ello determina la necesidad de contar con normas locales que habiliten y regulen</w:t>
      </w:r>
      <w:r>
        <w:rPr>
          <w:rFonts w:ascii="Garamond" w:eastAsia="Garamond" w:hAnsi="Garamond" w:cs="Garamond"/>
          <w:sz w:val="24"/>
          <w:szCs w:val="24"/>
        </w:rPr>
        <w:t xml:space="preserve"> el procedimiento para reclamar a esos entes privados, debiendo luego volver lo recaudado conforme las normas especiales contenidas en el Decreto 4255/2010 MS.</w:t>
      </w:r>
    </w:p>
    <w:p w:rsidR="00AC08F5" w:rsidRDefault="003E53AF">
      <w:pPr>
        <w:spacing w:before="100" w:after="120"/>
        <w:ind w:left="6" w:right="60" w:firstLine="714"/>
        <w:jc w:val="both"/>
        <w:rPr>
          <w:rFonts w:ascii="Garamond" w:eastAsia="Garamond" w:hAnsi="Garamond" w:cs="Garamond"/>
          <w:color w:val="000000"/>
          <w:sz w:val="24"/>
          <w:szCs w:val="24"/>
        </w:rPr>
      </w:pPr>
      <w:r>
        <w:rPr>
          <w:rFonts w:ascii="Garamond" w:eastAsia="Garamond" w:hAnsi="Garamond" w:cs="Garamond"/>
          <w:color w:val="000000"/>
          <w:sz w:val="24"/>
          <w:szCs w:val="24"/>
        </w:rPr>
        <w:t>Por las consideraciones expuestas, solicito a mis pares acompañen con su voto favorable el sigui</w:t>
      </w:r>
      <w:r>
        <w:rPr>
          <w:rFonts w:ascii="Garamond" w:eastAsia="Garamond" w:hAnsi="Garamond" w:cs="Garamond"/>
          <w:color w:val="000000"/>
          <w:sz w:val="24"/>
          <w:szCs w:val="24"/>
        </w:rPr>
        <w:t>ente Proyecto de Ley.</w:t>
      </w:r>
    </w:p>
    <w:p w:rsidR="00AC08F5" w:rsidRDefault="003E53AF">
      <w:pPr>
        <w:spacing w:after="120" w:line="360" w:lineRule="auto"/>
        <w:jc w:val="center"/>
        <w:rPr>
          <w:rFonts w:ascii="Garamond" w:eastAsia="Garamond" w:hAnsi="Garamond" w:cs="Garamond"/>
          <w:b/>
          <w:sz w:val="24"/>
          <w:szCs w:val="24"/>
        </w:rPr>
      </w:pPr>
      <w:r>
        <w:br w:type="page"/>
      </w:r>
    </w:p>
    <w:p w:rsidR="00AC08F5" w:rsidRDefault="003E53AF">
      <w:pPr>
        <w:spacing w:after="120" w:line="36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lastRenderedPageBreak/>
        <w:t>LA LEGISLATURA DE LA PROVINCIA DE ENTRE RÍOS</w:t>
      </w:r>
    </w:p>
    <w:p w:rsidR="00AC08F5" w:rsidRDefault="003E53AF">
      <w:pPr>
        <w:spacing w:after="120" w:line="36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SANCIONA CON FUERZA DE</w:t>
      </w:r>
      <w:r>
        <w:rPr>
          <w:rFonts w:ascii="Garamond" w:eastAsia="Garamond" w:hAnsi="Garamond" w:cs="Garamond"/>
          <w:sz w:val="24"/>
          <w:szCs w:val="24"/>
        </w:rPr>
        <w:t xml:space="preserve"> </w:t>
      </w:r>
      <w:r>
        <w:rPr>
          <w:rFonts w:ascii="Garamond" w:eastAsia="Garamond" w:hAnsi="Garamond" w:cs="Garamond"/>
          <w:b/>
          <w:color w:val="000000"/>
          <w:sz w:val="24"/>
          <w:szCs w:val="24"/>
        </w:rPr>
        <w:t>LEY:</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1°</w:t>
      </w:r>
      <w:r>
        <w:rPr>
          <w:rFonts w:ascii="Garamond" w:eastAsia="Garamond" w:hAnsi="Garamond" w:cs="Garamond"/>
          <w:b/>
          <w:sz w:val="24"/>
          <w:szCs w:val="24"/>
        </w:rPr>
        <w:t xml:space="preserve">: </w:t>
      </w:r>
      <w:r>
        <w:rPr>
          <w:rFonts w:ascii="Garamond" w:eastAsia="Garamond" w:hAnsi="Garamond" w:cs="Garamond"/>
          <w:sz w:val="24"/>
          <w:szCs w:val="24"/>
        </w:rPr>
        <w:t>La presente ley establece un régimen jurídico cuya finalidad es ejercer acciones de recupero de los fondos invertidos por la provincia de Entre Ríos, en la atención de pacientes que no cuenten con cobertura social, víctimas de accidentes viales, en Hospita</w:t>
      </w:r>
      <w:r>
        <w:rPr>
          <w:rFonts w:ascii="Garamond" w:eastAsia="Garamond" w:hAnsi="Garamond" w:cs="Garamond"/>
          <w:sz w:val="24"/>
          <w:szCs w:val="24"/>
        </w:rPr>
        <w:t>les, Centros Asistenciales y efectores de salud del sector público provincial, contra aseguradoras autorizadas por la Superintendencia de Seguros de la Nación.</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2°</w:t>
      </w:r>
      <w:r>
        <w:rPr>
          <w:rFonts w:ascii="Garamond" w:eastAsia="Garamond" w:hAnsi="Garamond" w:cs="Garamond"/>
          <w:b/>
          <w:sz w:val="24"/>
          <w:szCs w:val="24"/>
        </w:rPr>
        <w:t xml:space="preserve">: </w:t>
      </w:r>
      <w:r>
        <w:rPr>
          <w:rFonts w:ascii="Garamond" w:eastAsia="Garamond" w:hAnsi="Garamond" w:cs="Garamond"/>
          <w:sz w:val="24"/>
          <w:szCs w:val="24"/>
        </w:rPr>
        <w:t>A los fines de la presente ley se consideran inversiones en salud todos los gastos clínicos, quirúrgicos, de farmacia, insumos, honorarios médicos, prótesis, y/o cualquier otro costo ocasionados por la atención de pacientes.</w:t>
      </w:r>
    </w:p>
    <w:p w:rsidR="00AC08F5" w:rsidRDefault="003E53AF">
      <w:pPr>
        <w:spacing w:after="120"/>
        <w:ind w:firstLine="720"/>
        <w:jc w:val="both"/>
        <w:rPr>
          <w:rFonts w:ascii="Garamond" w:eastAsia="Garamond" w:hAnsi="Garamond" w:cs="Garamond"/>
          <w:b/>
          <w:sz w:val="24"/>
          <w:szCs w:val="24"/>
        </w:rPr>
      </w:pPr>
      <w:r>
        <w:rPr>
          <w:rFonts w:ascii="Garamond" w:eastAsia="Garamond" w:hAnsi="Garamond" w:cs="Garamond"/>
          <w:b/>
          <w:sz w:val="24"/>
          <w:szCs w:val="24"/>
          <w:u w:val="single"/>
        </w:rPr>
        <w:t>Artículo 3°</w:t>
      </w:r>
      <w:r>
        <w:rPr>
          <w:rFonts w:ascii="Garamond" w:eastAsia="Garamond" w:hAnsi="Garamond" w:cs="Garamond"/>
          <w:b/>
          <w:sz w:val="24"/>
          <w:szCs w:val="24"/>
        </w:rPr>
        <w:t>:</w:t>
      </w:r>
      <w:r>
        <w:rPr>
          <w:rFonts w:ascii="Garamond" w:eastAsia="Garamond" w:hAnsi="Garamond" w:cs="Garamond"/>
          <w:sz w:val="24"/>
          <w:szCs w:val="24"/>
        </w:rPr>
        <w:t xml:space="preserve"> El Ministerio de S</w:t>
      </w:r>
      <w:r>
        <w:rPr>
          <w:rFonts w:ascii="Garamond" w:eastAsia="Garamond" w:hAnsi="Garamond" w:cs="Garamond"/>
          <w:sz w:val="24"/>
          <w:szCs w:val="24"/>
        </w:rPr>
        <w:t>alud de Entre Ríos será la Autoridad de Aplicación de la presente ley, con facultades para crear un área específica que lleve adelante los fines de la presente ley</w:t>
      </w:r>
      <w:r>
        <w:rPr>
          <w:rFonts w:ascii="Garamond" w:eastAsia="Garamond" w:hAnsi="Garamond" w:cs="Garamond"/>
          <w:b/>
          <w:sz w:val="24"/>
          <w:szCs w:val="24"/>
        </w:rPr>
        <w:t>.</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4°</w:t>
      </w:r>
      <w:r>
        <w:rPr>
          <w:rFonts w:ascii="Garamond" w:eastAsia="Garamond" w:hAnsi="Garamond" w:cs="Garamond"/>
          <w:sz w:val="24"/>
          <w:szCs w:val="24"/>
        </w:rPr>
        <w:t>: La Autoridad de Aplicación tendrá las siguientes facultades:</w:t>
      </w:r>
    </w:p>
    <w:p w:rsidR="00AC08F5" w:rsidRDefault="003E53AF">
      <w:pPr>
        <w:numPr>
          <w:ilvl w:val="0"/>
          <w:numId w:val="1"/>
        </w:numPr>
        <w:spacing w:after="120"/>
        <w:ind w:left="992" w:hanging="283"/>
        <w:contextualSpacing/>
        <w:jc w:val="both"/>
        <w:rPr>
          <w:rFonts w:ascii="Garamond" w:eastAsia="Garamond" w:hAnsi="Garamond" w:cs="Garamond"/>
          <w:sz w:val="24"/>
          <w:szCs w:val="24"/>
        </w:rPr>
      </w:pPr>
      <w:r>
        <w:rPr>
          <w:rFonts w:ascii="Garamond" w:eastAsia="Garamond" w:hAnsi="Garamond" w:cs="Garamond"/>
          <w:sz w:val="24"/>
          <w:szCs w:val="24"/>
        </w:rPr>
        <w:t>Reclamar a las co</w:t>
      </w:r>
      <w:r>
        <w:rPr>
          <w:rFonts w:ascii="Garamond" w:eastAsia="Garamond" w:hAnsi="Garamond" w:cs="Garamond"/>
          <w:sz w:val="24"/>
          <w:szCs w:val="24"/>
        </w:rPr>
        <w:t>mpañías aseguradoras, conforme al sistema de arancelamiento, el pago de la obligación legal autónoma normada en el artículo 68 de la Ley Nacional de Tránsito N° 24.449 y sus modificatorias.</w:t>
      </w:r>
    </w:p>
    <w:p w:rsidR="00AC08F5" w:rsidRDefault="003E53AF">
      <w:pPr>
        <w:numPr>
          <w:ilvl w:val="0"/>
          <w:numId w:val="1"/>
        </w:numPr>
        <w:spacing w:after="120"/>
        <w:ind w:left="992" w:hanging="283"/>
        <w:contextualSpacing/>
        <w:jc w:val="both"/>
        <w:rPr>
          <w:rFonts w:ascii="Garamond" w:eastAsia="Garamond" w:hAnsi="Garamond" w:cs="Garamond"/>
          <w:sz w:val="24"/>
          <w:szCs w:val="24"/>
        </w:rPr>
      </w:pPr>
      <w:r>
        <w:rPr>
          <w:rFonts w:ascii="Garamond" w:eastAsia="Garamond" w:hAnsi="Garamond" w:cs="Garamond"/>
          <w:sz w:val="24"/>
          <w:szCs w:val="24"/>
        </w:rPr>
        <w:t>Solicitar a los hospitales, centros asistenciales y demás efectore</w:t>
      </w:r>
      <w:r>
        <w:rPr>
          <w:rFonts w:ascii="Garamond" w:eastAsia="Garamond" w:hAnsi="Garamond" w:cs="Garamond"/>
          <w:sz w:val="24"/>
          <w:szCs w:val="24"/>
        </w:rPr>
        <w:t>s de salud del sector público provincial, toda la documentación e información que resulte necesaria para poder cumplir con el objetivo de la presente ley.</w:t>
      </w:r>
    </w:p>
    <w:p w:rsidR="00AC08F5" w:rsidRDefault="003E53AF">
      <w:pPr>
        <w:numPr>
          <w:ilvl w:val="0"/>
          <w:numId w:val="1"/>
        </w:numPr>
        <w:spacing w:after="120"/>
        <w:ind w:left="992" w:hanging="283"/>
        <w:contextualSpacing/>
        <w:jc w:val="both"/>
        <w:rPr>
          <w:rFonts w:ascii="Garamond" w:eastAsia="Garamond" w:hAnsi="Garamond" w:cs="Garamond"/>
          <w:sz w:val="24"/>
          <w:szCs w:val="24"/>
        </w:rPr>
      </w:pPr>
      <w:r>
        <w:rPr>
          <w:rFonts w:ascii="Garamond" w:eastAsia="Garamond" w:hAnsi="Garamond" w:cs="Garamond"/>
          <w:sz w:val="24"/>
          <w:szCs w:val="24"/>
        </w:rPr>
        <w:t xml:space="preserve">Tomar vista y/o extraer copias de las investigaciones penales preparatorias donde estén involucrados </w:t>
      </w:r>
      <w:r>
        <w:rPr>
          <w:rFonts w:ascii="Garamond" w:eastAsia="Garamond" w:hAnsi="Garamond" w:cs="Garamond"/>
          <w:sz w:val="24"/>
          <w:szCs w:val="24"/>
        </w:rPr>
        <w:t>pacientes de accidentes viales, por ante las Fiscalías intervinientes, a efectos de poder cumplimentar los requisitos exigidos en la Resolución N° 271/2018 de la Superintendencia de Seguros de la Nación, sin perjuicio de modificaciones futuras</w:t>
      </w:r>
      <w:r>
        <w:rPr>
          <w:rFonts w:ascii="Garamond" w:eastAsia="Garamond" w:hAnsi="Garamond" w:cs="Garamond"/>
          <w:color w:val="222222"/>
          <w:sz w:val="24"/>
          <w:szCs w:val="24"/>
          <w:highlight w:val="white"/>
        </w:rPr>
        <w:t>.</w:t>
      </w:r>
    </w:p>
    <w:p w:rsidR="00AC08F5" w:rsidRDefault="003E53AF">
      <w:pPr>
        <w:numPr>
          <w:ilvl w:val="0"/>
          <w:numId w:val="1"/>
        </w:numPr>
        <w:spacing w:after="120"/>
        <w:ind w:left="992" w:hanging="283"/>
        <w:contextualSpacing/>
        <w:jc w:val="both"/>
        <w:rPr>
          <w:rFonts w:ascii="Garamond" w:eastAsia="Garamond" w:hAnsi="Garamond" w:cs="Garamond"/>
          <w:sz w:val="24"/>
          <w:szCs w:val="24"/>
        </w:rPr>
      </w:pPr>
      <w:r>
        <w:rPr>
          <w:rFonts w:ascii="Garamond" w:eastAsia="Garamond" w:hAnsi="Garamond" w:cs="Garamond"/>
          <w:sz w:val="24"/>
          <w:szCs w:val="24"/>
        </w:rPr>
        <w:t>Requerir en</w:t>
      </w:r>
      <w:r>
        <w:rPr>
          <w:rFonts w:ascii="Garamond" w:eastAsia="Garamond" w:hAnsi="Garamond" w:cs="Garamond"/>
          <w:sz w:val="24"/>
          <w:szCs w:val="24"/>
        </w:rPr>
        <w:t xml:space="preserve"> forma directa a las distintas oficinas públicas nacionales, provinciales, municipales o entes autárquicos y organismos descentralizados, todos los antecedentes e informes necesarios para reclamar la obligación legal autónoma.</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5°</w:t>
      </w:r>
      <w:r>
        <w:rPr>
          <w:rFonts w:ascii="Garamond" w:eastAsia="Garamond" w:hAnsi="Garamond" w:cs="Garamond"/>
          <w:b/>
          <w:sz w:val="24"/>
          <w:szCs w:val="24"/>
        </w:rPr>
        <w:t>:</w:t>
      </w:r>
      <w:r>
        <w:rPr>
          <w:rFonts w:ascii="Garamond" w:eastAsia="Garamond" w:hAnsi="Garamond" w:cs="Garamond"/>
          <w:sz w:val="24"/>
          <w:szCs w:val="24"/>
        </w:rPr>
        <w:t xml:space="preserve"> La inversión en </w:t>
      </w:r>
      <w:r>
        <w:rPr>
          <w:rFonts w:ascii="Garamond" w:eastAsia="Garamond" w:hAnsi="Garamond" w:cs="Garamond"/>
          <w:sz w:val="24"/>
          <w:szCs w:val="24"/>
        </w:rPr>
        <w:t>salud que derive de gastos clínicos, quirúrgicos, de farmacia, insumos, honorarios médicos, prótesis, y/o cualquier otro costo ocasionados por la atención de los pacientes mencionados en el artículo 1 de la presente ley, serán abonadas de acuerdo al Nomenc</w:t>
      </w:r>
      <w:r>
        <w:rPr>
          <w:rFonts w:ascii="Garamond" w:eastAsia="Garamond" w:hAnsi="Garamond" w:cs="Garamond"/>
          <w:sz w:val="24"/>
          <w:szCs w:val="24"/>
        </w:rPr>
        <w:t>lador que establezca el Ministerio de Salud y de conformidad al sistema provincial de arancelamiento.</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6°</w:t>
      </w:r>
      <w:r>
        <w:rPr>
          <w:rFonts w:ascii="Garamond" w:eastAsia="Garamond" w:hAnsi="Garamond" w:cs="Garamond"/>
          <w:b/>
          <w:sz w:val="24"/>
          <w:szCs w:val="24"/>
        </w:rPr>
        <w:t xml:space="preserve">: </w:t>
      </w:r>
      <w:r>
        <w:rPr>
          <w:rFonts w:ascii="Garamond" w:eastAsia="Garamond" w:hAnsi="Garamond" w:cs="Garamond"/>
          <w:sz w:val="24"/>
          <w:szCs w:val="24"/>
        </w:rPr>
        <w:t xml:space="preserve">La Autoridad de Aplicación, en aquellos casos que corresponda, dará comunicación a la Fiscalía de Estado, para que evalúe la procedencia del </w:t>
      </w:r>
      <w:r>
        <w:rPr>
          <w:rFonts w:ascii="Garamond" w:eastAsia="Garamond" w:hAnsi="Garamond" w:cs="Garamond"/>
          <w:sz w:val="24"/>
          <w:szCs w:val="24"/>
        </w:rPr>
        <w:t xml:space="preserve">recupero judicial </w:t>
      </w:r>
      <w:r>
        <w:rPr>
          <w:rFonts w:ascii="Garamond" w:eastAsia="Garamond" w:hAnsi="Garamond" w:cs="Garamond"/>
          <w:sz w:val="24"/>
          <w:szCs w:val="24"/>
        </w:rPr>
        <w:lastRenderedPageBreak/>
        <w:t>de la inversión en salud, efectuada en favor de los pacientes mencionados en el artículo 1 de la presente ley.</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7°</w:t>
      </w:r>
      <w:r>
        <w:rPr>
          <w:rFonts w:ascii="Garamond" w:eastAsia="Garamond" w:hAnsi="Garamond" w:cs="Garamond"/>
          <w:b/>
          <w:sz w:val="24"/>
          <w:szCs w:val="24"/>
        </w:rPr>
        <w:t>:</w:t>
      </w:r>
      <w:r>
        <w:rPr>
          <w:rFonts w:ascii="Garamond" w:eastAsia="Garamond" w:hAnsi="Garamond" w:cs="Garamond"/>
          <w:sz w:val="24"/>
          <w:szCs w:val="24"/>
        </w:rPr>
        <w:t xml:space="preserve"> La Fiscalía de Estado, en uso de sus atribuciones, podrá delegar en abogados de la Autoridad de Aplicación o en ab</w:t>
      </w:r>
      <w:r>
        <w:rPr>
          <w:rFonts w:ascii="Garamond" w:eastAsia="Garamond" w:hAnsi="Garamond" w:cs="Garamond"/>
          <w:sz w:val="24"/>
          <w:szCs w:val="24"/>
        </w:rPr>
        <w:t>ogados ad-hoc, el reclamo judicial del recupero de la inversión en salud, conforme lo establece el artículo 4º, inciso f) de la Ley Nº 7.296 y modificatorias.</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8°</w:t>
      </w:r>
      <w:r>
        <w:rPr>
          <w:rFonts w:ascii="Garamond" w:eastAsia="Garamond" w:hAnsi="Garamond" w:cs="Garamond"/>
          <w:b/>
          <w:sz w:val="24"/>
          <w:szCs w:val="24"/>
        </w:rPr>
        <w:t>:</w:t>
      </w:r>
      <w:r>
        <w:rPr>
          <w:rFonts w:ascii="Garamond" w:eastAsia="Garamond" w:hAnsi="Garamond" w:cs="Garamond"/>
          <w:sz w:val="24"/>
          <w:szCs w:val="24"/>
        </w:rPr>
        <w:t xml:space="preserve"> Los fondos recuperados se distribuirán conforme lo normado por el Decreto Nº 4255/20</w:t>
      </w:r>
      <w:r>
        <w:rPr>
          <w:rFonts w:ascii="Garamond" w:eastAsia="Garamond" w:hAnsi="Garamond" w:cs="Garamond"/>
          <w:sz w:val="24"/>
          <w:szCs w:val="24"/>
        </w:rPr>
        <w:t>10.</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9°</w:t>
      </w:r>
      <w:r>
        <w:rPr>
          <w:rFonts w:ascii="Garamond" w:eastAsia="Garamond" w:hAnsi="Garamond" w:cs="Garamond"/>
          <w:b/>
          <w:sz w:val="24"/>
          <w:szCs w:val="24"/>
        </w:rPr>
        <w:t xml:space="preserve">: </w:t>
      </w:r>
      <w:proofErr w:type="spellStart"/>
      <w:r>
        <w:rPr>
          <w:rFonts w:ascii="Garamond" w:eastAsia="Garamond" w:hAnsi="Garamond" w:cs="Garamond"/>
          <w:sz w:val="24"/>
          <w:szCs w:val="24"/>
        </w:rPr>
        <w:t>Facúltase</w:t>
      </w:r>
      <w:proofErr w:type="spellEnd"/>
      <w:r>
        <w:rPr>
          <w:rFonts w:ascii="Garamond" w:eastAsia="Garamond" w:hAnsi="Garamond" w:cs="Garamond"/>
          <w:sz w:val="24"/>
          <w:szCs w:val="24"/>
        </w:rPr>
        <w:t xml:space="preserve"> al Poder Ejecutivo a reglamentar la presente en el plazo de 30 días.</w:t>
      </w:r>
    </w:p>
    <w:p w:rsidR="00AC08F5" w:rsidRDefault="003E53AF">
      <w:pPr>
        <w:spacing w:after="120"/>
        <w:ind w:firstLine="720"/>
        <w:jc w:val="both"/>
        <w:rPr>
          <w:rFonts w:ascii="Garamond" w:eastAsia="Garamond" w:hAnsi="Garamond" w:cs="Garamond"/>
          <w:sz w:val="24"/>
          <w:szCs w:val="24"/>
        </w:rPr>
      </w:pPr>
      <w:r>
        <w:rPr>
          <w:rFonts w:ascii="Garamond" w:eastAsia="Garamond" w:hAnsi="Garamond" w:cs="Garamond"/>
          <w:b/>
          <w:sz w:val="24"/>
          <w:szCs w:val="24"/>
          <w:u w:val="single"/>
        </w:rPr>
        <w:t>Artículo 10°</w:t>
      </w:r>
      <w:r>
        <w:rPr>
          <w:rFonts w:ascii="Garamond" w:eastAsia="Garamond" w:hAnsi="Garamond" w:cs="Garamond"/>
          <w:b/>
          <w:sz w:val="24"/>
          <w:szCs w:val="24"/>
        </w:rPr>
        <w:t xml:space="preserve">: </w:t>
      </w:r>
      <w:r>
        <w:rPr>
          <w:rFonts w:ascii="Garamond" w:eastAsia="Garamond" w:hAnsi="Garamond" w:cs="Garamond"/>
          <w:sz w:val="24"/>
          <w:szCs w:val="24"/>
        </w:rPr>
        <w:t xml:space="preserve">De forma. </w:t>
      </w:r>
    </w:p>
    <w:sectPr w:rsidR="00AC08F5">
      <w:pgSz w:w="11906" w:h="16838"/>
      <w:pgMar w:top="3231" w:right="1133" w:bottom="1133" w:left="22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9C9"/>
    <w:multiLevelType w:val="multilevel"/>
    <w:tmpl w:val="B80295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F5"/>
    <w:rsid w:val="003E53AF"/>
    <w:rsid w:val="00AC08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BD662-121E-4D3B-8C8C-6F62C3DF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2018-08-07T22:03:00Z</dcterms:created>
  <dcterms:modified xsi:type="dcterms:W3CDTF">2018-08-07T22:03:00Z</dcterms:modified>
</cp:coreProperties>
</file>