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81CD7" w:rsidRDefault="00A91191">
      <w:pPr>
        <w:spacing w:line="360" w:lineRule="auto"/>
        <w:contextualSpacing w:val="0"/>
        <w:jc w:val="center"/>
        <w:rPr>
          <w:rFonts w:ascii="Garamond" w:eastAsia="Garamond" w:hAnsi="Garamond" w:cs="Garamond"/>
          <w:b/>
          <w:sz w:val="24"/>
          <w:szCs w:val="24"/>
        </w:rPr>
      </w:pPr>
      <w:bookmarkStart w:id="0" w:name="_GoBack"/>
      <w:bookmarkEnd w:id="0"/>
      <w:r>
        <w:rPr>
          <w:rFonts w:ascii="Garamond" w:eastAsia="Garamond" w:hAnsi="Garamond" w:cs="Garamond"/>
          <w:b/>
          <w:sz w:val="24"/>
          <w:szCs w:val="24"/>
        </w:rPr>
        <w:t>FUNDAMENTOS</w:t>
      </w:r>
    </w:p>
    <w:p w:rsidR="00381CD7" w:rsidRDefault="00A91191">
      <w:pPr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381CD7" w:rsidRDefault="00A91191">
      <w:pPr>
        <w:spacing w:after="120"/>
        <w:contextualSpacing w:val="0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Sr.  Presidente:</w:t>
      </w:r>
    </w:p>
    <w:p w:rsidR="00381CD7" w:rsidRDefault="00A91191">
      <w:pPr>
        <w:spacing w:after="120"/>
        <w:ind w:firstLine="1417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La Ley Nº 10.237 sancionada por esta Legislatura fue promulgada el 29 de agosto de 2013. Por la misma declararon de utilidad pública y sujetos a expropiación los terrenos necesarios para la expansión del Cementerio de la ciudad de San Salvador. </w:t>
      </w:r>
    </w:p>
    <w:p w:rsidR="00381CD7" w:rsidRDefault="00A91191">
      <w:pPr>
        <w:spacing w:after="120"/>
        <w:ind w:firstLine="1417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Posteriorm</w:t>
      </w:r>
      <w:r>
        <w:rPr>
          <w:rFonts w:ascii="Garamond" w:eastAsia="Garamond" w:hAnsi="Garamond" w:cs="Garamond"/>
          <w:sz w:val="24"/>
          <w:szCs w:val="24"/>
        </w:rPr>
        <w:t xml:space="preserve">ente por medio de la Ley Nº 10.453 se ratifica la vigencia de la declaración de utilidad pública y sujeción a expropiación de los inmuebles indicados en la primera. </w:t>
      </w:r>
    </w:p>
    <w:p w:rsidR="00381CD7" w:rsidRDefault="00A91191">
      <w:pPr>
        <w:spacing w:after="120"/>
        <w:ind w:firstLine="1417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Luego de ello se hizo una nueva tasación y el trámite actualmente está en la Oficina de Pr</w:t>
      </w:r>
      <w:r>
        <w:rPr>
          <w:rFonts w:ascii="Garamond" w:eastAsia="Garamond" w:hAnsi="Garamond" w:cs="Garamond"/>
          <w:sz w:val="24"/>
          <w:szCs w:val="24"/>
        </w:rPr>
        <w:t xml:space="preserve">esupuesto de la Sec. </w:t>
      </w:r>
      <w:proofErr w:type="gramStart"/>
      <w:r>
        <w:rPr>
          <w:rFonts w:ascii="Garamond" w:eastAsia="Garamond" w:hAnsi="Garamond" w:cs="Garamond"/>
          <w:sz w:val="24"/>
          <w:szCs w:val="24"/>
        </w:rPr>
        <w:t>de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Presupuesto y Finanzas del Ministerio de Economía, Hacienda y Finanzas de la Provincia.</w:t>
      </w:r>
    </w:p>
    <w:p w:rsidR="00381CD7" w:rsidRDefault="00A91191">
      <w:pPr>
        <w:spacing w:after="120"/>
        <w:ind w:firstLine="1417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Ahora bien, al haberse sancionado la Ley N° 10.453 el 11 de octubre de 2016 estamos próximos al vencimiento del plazo previsto por la Ley Nº 6.4</w:t>
      </w:r>
      <w:r>
        <w:rPr>
          <w:rFonts w:ascii="Garamond" w:eastAsia="Garamond" w:hAnsi="Garamond" w:cs="Garamond"/>
          <w:sz w:val="24"/>
          <w:szCs w:val="24"/>
        </w:rPr>
        <w:t>67 en cuanto dispone que “</w:t>
      </w:r>
      <w:r>
        <w:rPr>
          <w:rFonts w:ascii="Garamond" w:eastAsia="Garamond" w:hAnsi="Garamond" w:cs="Garamond"/>
          <w:i/>
          <w:sz w:val="24"/>
          <w:szCs w:val="24"/>
        </w:rPr>
        <w:t xml:space="preserve">El plazo para promover el juicio de expropiación será de dos (2) años a partir de la vigencia de la Ley que califique de utilidad pública al bien, cuando se trate de </w:t>
      </w:r>
      <w:proofErr w:type="spellStart"/>
      <w:r>
        <w:rPr>
          <w:rFonts w:ascii="Garamond" w:eastAsia="Garamond" w:hAnsi="Garamond" w:cs="Garamond"/>
          <w:i/>
          <w:sz w:val="24"/>
          <w:szCs w:val="24"/>
        </w:rPr>
        <w:t>uno</w:t>
      </w:r>
      <w:proofErr w:type="spellEnd"/>
      <w:r>
        <w:rPr>
          <w:rFonts w:ascii="Garamond" w:eastAsia="Garamond" w:hAnsi="Garamond" w:cs="Garamond"/>
          <w:i/>
          <w:sz w:val="24"/>
          <w:szCs w:val="24"/>
        </w:rPr>
        <w:t xml:space="preserve"> determinado</w:t>
      </w:r>
      <w:r>
        <w:rPr>
          <w:rFonts w:ascii="Garamond" w:eastAsia="Garamond" w:hAnsi="Garamond" w:cs="Garamond"/>
          <w:sz w:val="24"/>
          <w:szCs w:val="24"/>
        </w:rPr>
        <w:t>…”, de suerte tal que, al persistir las situacion</w:t>
      </w:r>
      <w:r>
        <w:rPr>
          <w:rFonts w:ascii="Garamond" w:eastAsia="Garamond" w:hAnsi="Garamond" w:cs="Garamond"/>
          <w:sz w:val="24"/>
          <w:szCs w:val="24"/>
        </w:rPr>
        <w:t>es de hecho que motivaron la declaración de utilidad pública, es necesario proceder a ratificar una vez más su vigencia.</w:t>
      </w:r>
    </w:p>
    <w:p w:rsidR="00381CD7" w:rsidRDefault="00A91191">
      <w:pPr>
        <w:spacing w:after="120"/>
        <w:ind w:firstLine="1417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Por todo lo expuesto, solicito a mis pares quieran tener a bien dar aprobación de este Proyecto de Ley.</w:t>
      </w:r>
    </w:p>
    <w:p w:rsidR="00381CD7" w:rsidRDefault="00381CD7">
      <w:pPr>
        <w:contextualSpacing w:val="0"/>
        <w:rPr>
          <w:rFonts w:ascii="Garamond" w:eastAsia="Garamond" w:hAnsi="Garamond" w:cs="Garamond"/>
          <w:sz w:val="24"/>
          <w:szCs w:val="24"/>
        </w:rPr>
      </w:pPr>
    </w:p>
    <w:p w:rsidR="00381CD7" w:rsidRDefault="00A91191">
      <w:pPr>
        <w:contextualSpacing w:val="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381CD7" w:rsidRDefault="00A91191">
      <w:pPr>
        <w:spacing w:after="160"/>
        <w:contextualSpacing w:val="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381CD7" w:rsidRDefault="00A91191">
      <w:pPr>
        <w:spacing w:line="360" w:lineRule="auto"/>
        <w:contextualSpacing w:val="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br w:type="page"/>
      </w:r>
    </w:p>
    <w:p w:rsidR="00381CD7" w:rsidRDefault="00A91191">
      <w:pPr>
        <w:spacing w:line="360" w:lineRule="auto"/>
        <w:contextualSpacing w:val="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lastRenderedPageBreak/>
        <w:t>LA LEGISLATURA DE LA PRO</w:t>
      </w:r>
      <w:r>
        <w:rPr>
          <w:rFonts w:ascii="Garamond" w:eastAsia="Garamond" w:hAnsi="Garamond" w:cs="Garamond"/>
          <w:b/>
          <w:sz w:val="24"/>
          <w:szCs w:val="24"/>
        </w:rPr>
        <w:t>VINCIA DE ENTRE RÍOS</w:t>
      </w:r>
    </w:p>
    <w:p w:rsidR="00381CD7" w:rsidRDefault="00A91191">
      <w:pPr>
        <w:spacing w:line="360" w:lineRule="auto"/>
        <w:contextualSpacing w:val="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SANCIONA CON FUERZA DE</w:t>
      </w:r>
    </w:p>
    <w:p w:rsidR="00381CD7" w:rsidRDefault="00A91191">
      <w:pPr>
        <w:spacing w:line="360" w:lineRule="auto"/>
        <w:contextualSpacing w:val="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L E </w:t>
      </w:r>
      <w:proofErr w:type="gramStart"/>
      <w:r>
        <w:rPr>
          <w:rFonts w:ascii="Garamond" w:eastAsia="Garamond" w:hAnsi="Garamond" w:cs="Garamond"/>
          <w:b/>
          <w:sz w:val="24"/>
          <w:szCs w:val="24"/>
        </w:rPr>
        <w:t>Y :</w:t>
      </w:r>
      <w:proofErr w:type="gramEnd"/>
    </w:p>
    <w:p w:rsidR="00381CD7" w:rsidRDefault="00A91191">
      <w:pPr>
        <w:spacing w:line="360" w:lineRule="auto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381CD7" w:rsidRDefault="00A91191">
      <w:pPr>
        <w:ind w:firstLine="700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Artículo 1º</w:t>
      </w:r>
      <w:r>
        <w:rPr>
          <w:rFonts w:ascii="Garamond" w:eastAsia="Garamond" w:hAnsi="Garamond" w:cs="Garamond"/>
          <w:b/>
          <w:sz w:val="24"/>
          <w:szCs w:val="24"/>
        </w:rPr>
        <w:t xml:space="preserve">: </w:t>
      </w:r>
      <w:r>
        <w:rPr>
          <w:rFonts w:ascii="Garamond" w:eastAsia="Garamond" w:hAnsi="Garamond" w:cs="Garamond"/>
          <w:sz w:val="24"/>
          <w:szCs w:val="24"/>
        </w:rPr>
        <w:t>Ratifíquese la vigencia de la declaración de utilidad pública y sujeción a expropiación dispuesta por la Ley Nº 10.237 y ratificación dispuesta por la Ley Nº 10.453, en relación a los inmue</w:t>
      </w:r>
      <w:r>
        <w:rPr>
          <w:rFonts w:ascii="Garamond" w:eastAsia="Garamond" w:hAnsi="Garamond" w:cs="Garamond"/>
          <w:sz w:val="24"/>
          <w:szCs w:val="24"/>
        </w:rPr>
        <w:t>bles individualizados en la primera y manteniendo el destino en ella previsto.</w:t>
      </w:r>
    </w:p>
    <w:p w:rsidR="00381CD7" w:rsidRDefault="00A91191">
      <w:pPr>
        <w:ind w:firstLine="700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381CD7" w:rsidRDefault="00A91191">
      <w:pPr>
        <w:ind w:firstLine="700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Artículo 2°</w:t>
      </w:r>
      <w:r>
        <w:rPr>
          <w:rFonts w:ascii="Garamond" w:eastAsia="Garamond" w:hAnsi="Garamond" w:cs="Garamond"/>
          <w:b/>
          <w:sz w:val="24"/>
          <w:szCs w:val="24"/>
        </w:rPr>
        <w:t xml:space="preserve">: </w:t>
      </w:r>
      <w:proofErr w:type="spellStart"/>
      <w:r>
        <w:rPr>
          <w:rFonts w:ascii="Garamond" w:eastAsia="Garamond" w:hAnsi="Garamond" w:cs="Garamond"/>
          <w:sz w:val="24"/>
          <w:szCs w:val="24"/>
        </w:rPr>
        <w:t>Facúltase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al Poder Ejecutivo para realizar las modificaciones y/o adecuaciones presupuestarias necesarias para atender el gasto que demande lo dispuesto en el art</w:t>
      </w:r>
      <w:r>
        <w:rPr>
          <w:rFonts w:ascii="Garamond" w:eastAsia="Garamond" w:hAnsi="Garamond" w:cs="Garamond"/>
          <w:sz w:val="24"/>
          <w:szCs w:val="24"/>
        </w:rPr>
        <w:t>ículo anterior.</w:t>
      </w:r>
    </w:p>
    <w:p w:rsidR="00381CD7" w:rsidRDefault="00A91191">
      <w:pPr>
        <w:ind w:firstLine="700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381CD7" w:rsidRDefault="00A91191">
      <w:pPr>
        <w:ind w:firstLine="700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Artículo 3º</w:t>
      </w:r>
      <w:r>
        <w:rPr>
          <w:rFonts w:ascii="Garamond" w:eastAsia="Garamond" w:hAnsi="Garamond" w:cs="Garamond"/>
          <w:b/>
          <w:sz w:val="24"/>
          <w:szCs w:val="24"/>
        </w:rPr>
        <w:t>: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Autorízase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al Poder Ejecutivo para disponer la donación a favor de la Municipalidad de San Salvador respecto de los bienes inmuebles individualizados en el artículo 1º de la Ley 10.237.</w:t>
      </w:r>
    </w:p>
    <w:p w:rsidR="00381CD7" w:rsidRDefault="00A91191">
      <w:pPr>
        <w:ind w:firstLine="700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381CD7" w:rsidRDefault="00A91191">
      <w:pPr>
        <w:ind w:firstLine="700"/>
        <w:contextualSpacing w:val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Artículo 4º</w:t>
      </w:r>
      <w:r>
        <w:rPr>
          <w:rFonts w:ascii="Garamond" w:eastAsia="Garamond" w:hAnsi="Garamond" w:cs="Garamond"/>
          <w:b/>
          <w:sz w:val="24"/>
          <w:szCs w:val="24"/>
        </w:rPr>
        <w:t xml:space="preserve">: </w:t>
      </w:r>
      <w:r>
        <w:rPr>
          <w:rFonts w:ascii="Garamond" w:eastAsia="Garamond" w:hAnsi="Garamond" w:cs="Garamond"/>
          <w:sz w:val="24"/>
          <w:szCs w:val="24"/>
        </w:rPr>
        <w:t>De forma.</w:t>
      </w:r>
    </w:p>
    <w:sectPr w:rsidR="00381CD7">
      <w:pgSz w:w="11906" w:h="16838"/>
      <w:pgMar w:top="3118" w:right="1133" w:bottom="1133" w:left="22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CD7"/>
    <w:rsid w:val="00381CD7"/>
    <w:rsid w:val="00A9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CF23B-A2B0-4A28-B6D5-0DC5D4A2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2018-09-18T21:16:00Z</dcterms:created>
  <dcterms:modified xsi:type="dcterms:W3CDTF">2018-09-18T21:16:00Z</dcterms:modified>
</cp:coreProperties>
</file>