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59F" w:rsidRDefault="00E60EFC">
      <w:pPr>
        <w:pBdr>
          <w:top w:val="nil"/>
          <w:left w:val="nil"/>
          <w:bottom w:val="nil"/>
          <w:right w:val="nil"/>
          <w:between w:val="nil"/>
        </w:pBdr>
        <w:spacing w:before="280" w:line="360" w:lineRule="auto"/>
        <w:jc w:val="both"/>
        <w:rPr>
          <w:color w:val="000000"/>
        </w:rPr>
      </w:pPr>
      <w:bookmarkStart w:id="0" w:name="_GoBack"/>
      <w:bookmarkEnd w:id="0"/>
      <w:r>
        <w:rPr>
          <w:rFonts w:ascii="Arial" w:eastAsia="Arial" w:hAnsi="Arial" w:cs="Arial"/>
          <w:b/>
          <w:color w:val="000000"/>
        </w:rPr>
        <w:t>HONORABLE SENADO</w:t>
      </w:r>
      <w:r>
        <w:rPr>
          <w:rFonts w:ascii="Arial" w:eastAsia="Arial" w:hAnsi="Arial" w:cs="Arial"/>
          <w:color w:val="000000"/>
        </w:rPr>
        <w:t xml:space="preserve">: </w:t>
      </w:r>
    </w:p>
    <w:p w:rsidR="0029259F" w:rsidRDefault="00E60EFC">
      <w:pPr>
        <w:spacing w:line="360" w:lineRule="auto"/>
        <w:jc w:val="both"/>
        <w:rPr>
          <w:rFonts w:ascii="CG Omega" w:eastAsia="CG Omega" w:hAnsi="CG Omega" w:cs="CG Omega"/>
        </w:rPr>
      </w:pPr>
      <w:r>
        <w:t xml:space="preserve"> </w:t>
      </w:r>
      <w:r>
        <w:tab/>
      </w:r>
      <w:r>
        <w:tab/>
      </w:r>
      <w:r>
        <w:tab/>
      </w:r>
      <w:r>
        <w:tab/>
      </w:r>
      <w:r>
        <w:rPr>
          <w:rFonts w:ascii="Arial" w:eastAsia="Arial" w:hAnsi="Arial" w:cs="Arial"/>
        </w:rPr>
        <w:t>El Dr. Martín Francisco CARBONELL,</w:t>
      </w:r>
      <w:r>
        <w:rPr>
          <w:rFonts w:ascii="Arial" w:eastAsia="Arial" w:hAnsi="Arial" w:cs="Arial"/>
          <w:color w:val="000000"/>
        </w:rPr>
        <w:t xml:space="preserve"> </w:t>
      </w:r>
      <w:r>
        <w:rPr>
          <w:rFonts w:ascii="Arial" w:eastAsia="Arial" w:hAnsi="Arial" w:cs="Arial"/>
        </w:rPr>
        <w:t>ha sido propuesto por el Poder Ejecutivo Provincial para ser nombrado</w:t>
      </w:r>
      <w:r>
        <w:rPr>
          <w:rFonts w:ascii="Arial" w:eastAsia="Arial" w:hAnsi="Arial" w:cs="Arial"/>
          <w:color w:val="000000"/>
          <w:highlight w:val="white"/>
        </w:rPr>
        <w:t xml:space="preserve"> </w:t>
      </w:r>
      <w:r w:rsidRPr="00EA0AF0">
        <w:rPr>
          <w:rFonts w:ascii="Arial" w:eastAsia="CG Omega" w:hAnsi="Arial" w:cs="Arial"/>
        </w:rPr>
        <w:t>Juez Vocal de la Sala Nº II en lo Civil y Comercial del Superior Tribunal de Justicia de la Provincia de Entre Ríos</w:t>
      </w:r>
      <w:r>
        <w:rPr>
          <w:rFonts w:ascii="Arial" w:eastAsia="Arial" w:hAnsi="Arial" w:cs="Arial"/>
          <w:color w:val="000000"/>
        </w:rPr>
        <w:t xml:space="preserve">, </w:t>
      </w:r>
      <w:r>
        <w:rPr>
          <w:rFonts w:ascii="Arial" w:eastAsia="Arial" w:hAnsi="Arial" w:cs="Arial"/>
        </w:rPr>
        <w:t>por lo que ingresa a este Senado el pedido de Acuerdo para tal designación.</w:t>
      </w:r>
    </w:p>
    <w:p w:rsidR="0029259F" w:rsidRDefault="00E60EFC">
      <w:pPr>
        <w:pBdr>
          <w:top w:val="nil"/>
          <w:left w:val="nil"/>
          <w:bottom w:val="nil"/>
          <w:right w:val="nil"/>
          <w:between w:val="nil"/>
        </w:pBdr>
        <w:spacing w:before="280" w:line="360" w:lineRule="auto"/>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Luego de que en ésta Comisión </w:t>
      </w:r>
      <w:r>
        <w:rPr>
          <w:rFonts w:ascii="Arial" w:eastAsia="Arial" w:hAnsi="Arial" w:cs="Arial"/>
        </w:rPr>
        <w:t xml:space="preserve">se evaluaron </w:t>
      </w:r>
      <w:r>
        <w:rPr>
          <w:rFonts w:ascii="Arial" w:eastAsia="Arial" w:hAnsi="Arial" w:cs="Arial"/>
          <w:color w:val="000000"/>
        </w:rPr>
        <w:t>los antecedentes personales y curriculares del Dr.</w:t>
      </w:r>
      <w:r>
        <w:rPr>
          <w:rFonts w:ascii="Arial" w:eastAsia="Arial" w:hAnsi="Arial" w:cs="Arial"/>
          <w:b/>
          <w:color w:val="000000"/>
        </w:rPr>
        <w:t xml:space="preserve"> </w:t>
      </w:r>
      <w:r>
        <w:rPr>
          <w:rFonts w:ascii="Arial" w:eastAsia="Arial" w:hAnsi="Arial" w:cs="Arial"/>
          <w:color w:val="000000"/>
        </w:rPr>
        <w:t>CARBONELL y de haberse realizado las publicaciones correspondientes</w:t>
      </w:r>
      <w:r>
        <w:rPr>
          <w:rFonts w:ascii="Arial" w:eastAsia="Arial" w:hAnsi="Arial" w:cs="Arial"/>
          <w:b/>
          <w:color w:val="000000"/>
        </w:rPr>
        <w:t xml:space="preserve">, </w:t>
      </w:r>
      <w:r>
        <w:rPr>
          <w:rFonts w:ascii="Arial" w:eastAsia="Arial" w:hAnsi="Arial" w:cs="Arial"/>
          <w:color w:val="000000"/>
        </w:rPr>
        <w:t>mediante una resolución fundada de Presiden</w:t>
      </w:r>
      <w:r>
        <w:rPr>
          <w:rFonts w:ascii="Arial" w:eastAsia="Arial" w:hAnsi="Arial" w:cs="Arial"/>
        </w:rPr>
        <w:t>cia</w:t>
      </w:r>
      <w:r>
        <w:rPr>
          <w:rFonts w:ascii="Arial" w:eastAsia="Arial" w:hAnsi="Arial" w:cs="Arial"/>
          <w:color w:val="000000"/>
        </w:rPr>
        <w:t>, fecha</w:t>
      </w:r>
      <w:r>
        <w:rPr>
          <w:rFonts w:ascii="Arial" w:eastAsia="Arial" w:hAnsi="Arial" w:cs="Arial"/>
        </w:rPr>
        <w:t>da</w:t>
      </w:r>
      <w:r>
        <w:rPr>
          <w:rFonts w:ascii="Arial" w:eastAsia="Arial" w:hAnsi="Arial" w:cs="Arial"/>
          <w:color w:val="000000"/>
        </w:rPr>
        <w:t xml:space="preserve"> 6 de noviembre de 2018, se </w:t>
      </w:r>
      <w:r>
        <w:rPr>
          <w:rFonts w:ascii="Arial" w:eastAsia="Arial" w:hAnsi="Arial" w:cs="Arial"/>
        </w:rPr>
        <w:t xml:space="preserve">dieron </w:t>
      </w:r>
      <w:r>
        <w:rPr>
          <w:rFonts w:ascii="Arial" w:eastAsia="Arial" w:hAnsi="Arial" w:cs="Arial"/>
          <w:color w:val="000000"/>
        </w:rPr>
        <w:t>por cumplimentad</w:t>
      </w:r>
      <w:r>
        <w:rPr>
          <w:rFonts w:ascii="Arial" w:eastAsia="Arial" w:hAnsi="Arial" w:cs="Arial"/>
        </w:rPr>
        <w:t>a</w:t>
      </w:r>
      <w:r>
        <w:rPr>
          <w:rFonts w:ascii="Arial" w:eastAsia="Arial" w:hAnsi="Arial" w:cs="Arial"/>
          <w:color w:val="000000"/>
        </w:rPr>
        <w:t>s l</w:t>
      </w:r>
      <w:r>
        <w:rPr>
          <w:rFonts w:ascii="Arial" w:eastAsia="Arial" w:hAnsi="Arial" w:cs="Arial"/>
        </w:rPr>
        <w:t>a</w:t>
      </w:r>
      <w:r>
        <w:rPr>
          <w:rFonts w:ascii="Arial" w:eastAsia="Arial" w:hAnsi="Arial" w:cs="Arial"/>
          <w:color w:val="000000"/>
        </w:rPr>
        <w:t>s etapa</w:t>
      </w:r>
      <w:r>
        <w:rPr>
          <w:rFonts w:ascii="Arial" w:eastAsia="Arial" w:hAnsi="Arial" w:cs="Arial"/>
        </w:rPr>
        <w:t xml:space="preserve">s de los </w:t>
      </w:r>
      <w:r>
        <w:rPr>
          <w:rFonts w:ascii="Arial" w:eastAsia="Arial" w:hAnsi="Arial" w:cs="Arial"/>
          <w:color w:val="000000"/>
        </w:rPr>
        <w:t xml:space="preserve">incisos a), b), y c) del artículo 19º del Reglamento de la Honorable Cámara de Senadores </w:t>
      </w:r>
      <w:r>
        <w:rPr>
          <w:rFonts w:ascii="Arial" w:eastAsia="Arial" w:hAnsi="Arial" w:cs="Arial"/>
        </w:rPr>
        <w:t xml:space="preserve">y se fijó </w:t>
      </w:r>
      <w:r>
        <w:rPr>
          <w:rFonts w:ascii="Arial" w:eastAsia="Arial" w:hAnsi="Arial" w:cs="Arial"/>
          <w:color w:val="000000"/>
        </w:rPr>
        <w:t>fecha para llevar adelante la Audiencia Pública perti</w:t>
      </w:r>
      <w:r>
        <w:rPr>
          <w:rFonts w:ascii="Arial" w:eastAsia="Arial" w:hAnsi="Arial" w:cs="Arial"/>
        </w:rPr>
        <w:t>nente</w:t>
      </w:r>
      <w:r>
        <w:rPr>
          <w:rFonts w:ascii="Arial" w:eastAsia="Arial" w:hAnsi="Arial" w:cs="Arial"/>
          <w:color w:val="000000"/>
        </w:rPr>
        <w:t>, facultando a la Secretaría de Cámara a realizar las comunicaciones pertinentes.</w:t>
      </w:r>
    </w:p>
    <w:p w:rsidR="0029259F" w:rsidRDefault="00E60EFC">
      <w:pPr>
        <w:widowControl/>
        <w:shd w:val="clear" w:color="auto" w:fill="FFFFFF"/>
        <w:spacing w:before="200" w:line="360" w:lineRule="auto"/>
        <w:ind w:firstLine="2700"/>
        <w:jc w:val="both"/>
        <w:rPr>
          <w:rFonts w:ascii="Arial" w:eastAsia="Arial" w:hAnsi="Arial" w:cs="Arial"/>
        </w:rPr>
      </w:pPr>
      <w:r>
        <w:rPr>
          <w:rFonts w:ascii="Arial" w:eastAsia="Arial" w:hAnsi="Arial" w:cs="Arial"/>
        </w:rPr>
        <w:t>Asimismo, en cumplimiento del artículo 24º de la Ley Nº 10.529 de Audiencias Públicas, se le di</w:t>
      </w:r>
      <w:r w:rsidR="00EA0AF0">
        <w:rPr>
          <w:rFonts w:ascii="Arial" w:eastAsia="Arial" w:hAnsi="Arial" w:cs="Arial"/>
        </w:rPr>
        <w:t>o</w:t>
      </w:r>
      <w:r>
        <w:rPr>
          <w:rFonts w:ascii="Arial" w:eastAsia="Arial" w:hAnsi="Arial" w:cs="Arial"/>
        </w:rPr>
        <w:t xml:space="preserve"> vista al Dr. CARBONELL de la presentación ciudadana efectuada en el marco del trámite parlamentario por medio de la cual se realizaron observaciones e impugnaciones su candidatura para el cargo.  </w:t>
      </w:r>
    </w:p>
    <w:p w:rsidR="0029259F" w:rsidRDefault="00E60EFC">
      <w:pPr>
        <w:widowControl/>
        <w:shd w:val="clear" w:color="auto" w:fill="FFFFFF"/>
        <w:spacing w:before="200" w:line="360" w:lineRule="auto"/>
        <w:ind w:firstLine="2700"/>
        <w:jc w:val="both"/>
        <w:rPr>
          <w:rFonts w:ascii="Arial" w:eastAsia="Arial" w:hAnsi="Arial" w:cs="Arial"/>
        </w:rPr>
      </w:pPr>
      <w:r>
        <w:rPr>
          <w:rFonts w:ascii="Arial" w:eastAsia="Arial" w:hAnsi="Arial" w:cs="Arial"/>
        </w:rPr>
        <w:t>Finalmente, el día 27 de noviembre pasado se realizó, en el Recinto de la Honorable Cámara de Senadores, la Audiencia Pública de conformidad con la Ley antes mencionada y lo dispuesto en artículo 19º del Reglamento de la Cámara. Allí, luego de la lectura del pedido de acuerdo y de los antecedentes personales y curriculares del Dr.</w:t>
      </w:r>
      <w:r>
        <w:rPr>
          <w:rFonts w:ascii="Arial" w:eastAsia="Arial" w:hAnsi="Arial" w:cs="Arial"/>
          <w:b/>
        </w:rPr>
        <w:t xml:space="preserve"> </w:t>
      </w:r>
      <w:r>
        <w:rPr>
          <w:rFonts w:ascii="Arial" w:eastAsia="Arial" w:hAnsi="Arial" w:cs="Arial"/>
        </w:rPr>
        <w:t>CARBONELL,</w:t>
      </w:r>
      <w:r>
        <w:rPr>
          <w:rFonts w:ascii="Arial" w:eastAsia="Arial" w:hAnsi="Arial" w:cs="Arial"/>
          <w:b/>
        </w:rPr>
        <w:t xml:space="preserve"> </w:t>
      </w:r>
      <w:r>
        <w:rPr>
          <w:rFonts w:ascii="Arial" w:eastAsia="Arial" w:hAnsi="Arial" w:cs="Arial"/>
        </w:rPr>
        <w:t xml:space="preserve">se procedió a interrogarlo sobre sus planes de trabajo, sus motivaciones para desempeñarse en el cargo para el que se solicitó el acuerdo, su situación patrimonial y fiscal, su experiencia personal y demás cuestiones que hacen al conocimiento de la Comisión.  Además, se lo interrogó por las manifestaciones ciudadanas que se habían hecho, sosteniendo su falta de idoneidad para ocupar el cargo por la ausencia de especialización. </w:t>
      </w:r>
    </w:p>
    <w:p w:rsidR="0029259F" w:rsidRDefault="00E60EFC">
      <w:pPr>
        <w:widowControl/>
        <w:spacing w:before="200" w:after="160" w:line="360" w:lineRule="auto"/>
        <w:ind w:firstLine="2694"/>
        <w:jc w:val="both"/>
        <w:rPr>
          <w:rFonts w:ascii="Arial" w:eastAsia="Arial" w:hAnsi="Arial" w:cs="Arial"/>
        </w:rPr>
      </w:pPr>
      <w:r>
        <w:rPr>
          <w:rFonts w:ascii="Arial" w:eastAsia="Arial" w:hAnsi="Arial" w:cs="Arial"/>
        </w:rPr>
        <w:lastRenderedPageBreak/>
        <w:t xml:space="preserve">A </w:t>
      </w:r>
      <w:r w:rsidR="00EA0AF0">
        <w:rPr>
          <w:rFonts w:ascii="Arial" w:eastAsia="Arial" w:hAnsi="Arial" w:cs="Arial"/>
        </w:rPr>
        <w:t>e</w:t>
      </w:r>
      <w:r>
        <w:rPr>
          <w:rFonts w:ascii="Arial" w:eastAsia="Arial" w:hAnsi="Arial" w:cs="Arial"/>
        </w:rPr>
        <w:t>sto último el Dr. CARBONELL respondió: “...</w:t>
      </w:r>
      <w:r w:rsidR="00EA0AF0">
        <w:rPr>
          <w:rFonts w:ascii="Arial" w:eastAsia="Arial" w:hAnsi="Arial" w:cs="Arial"/>
        </w:rPr>
        <w:t xml:space="preserve"> </w:t>
      </w:r>
      <w:r>
        <w:rPr>
          <w:rFonts w:ascii="Arial" w:eastAsia="Arial" w:hAnsi="Arial" w:cs="Arial"/>
          <w:i/>
        </w:rPr>
        <w:t>Como siempre respeto todas las opiniones. Y respeto también el derecho que tiene toda la ciudadanía, tal como lo establece la legislación, de expresar sus adhesiones y sus impugnaciones a los candidatos a cubrir estos cargos. Pero la verdad es que no las comparto. Como dije antes, hace treinta años que estoy trabajando en el Poder Judicial, de los cuales, hace casi veinticinco que estoy justamente en esto, en ejercer el poder jurisdiccional del Estado, que es aplicar la ley correspondiente al caso concreto. Este es el poder jurisdiccional del Estado y tratar de dictar los fallos, las resoluciones más justas para el caso concreto.  Entonces, este grupo de personas que impugna mi postulación por esta cuestión de no tener un estudio formal de capacitación en derecho civil –porque ese es el nudo de la impugnación– están confundiendo idoneidad para un cargo con capacitación.  Si bien provengo del fuero penal, hace veinticinco años que estoy resolviendo conflictos. Antes, de personas en conflicto con la ley penal, ahora conflictos entre particulares, normalmente, por cuestiones económicas. De manera que sostener que no estoy capacitado para hacerlo, no lo comparto.  Tal es así que este tema de la capacitación no es excluyente, es importante, pero no excluyente. Ya que en los concursos del Consejo de la Magistratura, los criterios consensuados para la calificación de antecedentes, tienen un máximo de treinta puntos, de los cuales la especialización tiene nada más que ocho y el resto se mira desde otro punto de vista y no desde la capacitación.  Aparte, este tipo de cargos para el que me proponen, no se agota en las funciones propias de una Sala Civil. En realidad, implica la mayoría del tiempo, muchos otras cosas que no son el dictado de fallos. Implica gobierno del Poder Judicial, conducción política y jurídica del Poder Judicial y mucha de la labor trasciende la materia propia del tratamiento de los recursos extraordinarios civiles de la Sala. Nos toca entender en cuestiones contenciosas-administrativas en pleno, nos toca entender en cuestiones laborales o cuestiones penales por excusaciones de los distintos integrantes del Superior Tribunal, de manera que no es la falta de capacitación lo que es importante, lo que no es excluyente; así que respeto, no comparto</w:t>
      </w:r>
      <w:r>
        <w:rPr>
          <w:rFonts w:ascii="Arial" w:eastAsia="Arial" w:hAnsi="Arial" w:cs="Arial"/>
        </w:rPr>
        <w:t xml:space="preserve">…”. </w:t>
      </w:r>
    </w:p>
    <w:p w:rsidR="0029259F" w:rsidRDefault="00E60EFC">
      <w:pPr>
        <w:widowControl/>
        <w:spacing w:before="200" w:after="160" w:line="360" w:lineRule="auto"/>
        <w:ind w:firstLine="2694"/>
        <w:jc w:val="both"/>
        <w:rPr>
          <w:rFonts w:ascii="Arial" w:eastAsia="Arial" w:hAnsi="Arial" w:cs="Arial"/>
        </w:rPr>
      </w:pPr>
      <w:r>
        <w:rPr>
          <w:rFonts w:ascii="Arial" w:eastAsia="Arial" w:hAnsi="Arial" w:cs="Arial"/>
        </w:rPr>
        <w:t xml:space="preserve">Luego, agregó: “... </w:t>
      </w:r>
      <w:r>
        <w:rPr>
          <w:rFonts w:ascii="Arial" w:eastAsia="Arial" w:hAnsi="Arial" w:cs="Arial"/>
          <w:i/>
        </w:rPr>
        <w:t>Creo que es importante, pero creo que no es excluyente para este tipo de cargos. Creo que esta especialización de la que hablan estas personas que me impugnan, es importante. Le voy a decir: pedí un certificado de licencias en el Superior Tribunal de Justicia, y resultó que tuve treinta y cuatro días de licencia en los últimos diez años. Esto me da un promedio de 3,4 días de licencia por año. Entonces, yo tengo otra especialización que no da certificado: tengo la especialización del trabajo duro, constante, a conciencia, con probidad, con independencia, con objetividad y con imparcialidad. Creo que esas son algunas de las cuestiones que han tenido en cuenta y en mira para postularme para este cargo. No descarto que sea importante la especialización. De hecho, yo no tengo estudios formales de especialización. Leo mucho, estudio mucho y trabajo mucho</w:t>
      </w:r>
      <w:r>
        <w:rPr>
          <w:rFonts w:ascii="Arial" w:eastAsia="Arial" w:hAnsi="Arial" w:cs="Arial"/>
        </w:rPr>
        <w:t xml:space="preserve">… </w:t>
      </w:r>
      <w:r>
        <w:rPr>
          <w:rFonts w:ascii="Arial" w:eastAsia="Arial" w:hAnsi="Arial" w:cs="Arial"/>
          <w:i/>
        </w:rPr>
        <w:t>El tema es que cuando usted tiene ese tipo de problemas, en este parangón que usted está haciendo con respecto a un problema de salud, usted no ocurre en primera instancia ante la Sala Civil del Superior Tribunal, sino que ocurre al Juez de Primera Instancia, que es el que hace la primera evaluación del caso; después vienen las Cámaras de Apelaciones que hacen la segunda evaluación del caso y recién después, a través de un recurso extraordinario, viene a conocimiento de la Sala Civil. Le voy a explicar un poco el sistema de trabajo… Si, está bien y entiendo perfectamente su preocupación. El sistema de trabajo en este caso es que como los recursos que entiende la Sala Civil del Superior Tribunal, no es una tercera instancia ordinaria dentro de la etapa recursiva del proceso, es un recurso extraordinario que no evalúa hecho y prueba, que sí evalúan los Tribunales de Primera Instancia y las Cámaras de Apelaciones. Entonces lo que realmente estudia la Sala Civil y Comercial es si el fallo de origen cumple con los requisitos para hacer un pronunciamiento jurisdiccional válido. Se fija si cumple con la doctrina legal del Superior Tribunal y si no hay algún apartamiento a alguna ley. El resto, hecho y prueba, no es materia de recursos. Entonces la actuación de la Cámara es revisar los fallos de las Cámaras de origen, el resto no es materia de recursos, salvo absurdidad en la apreciación de la prueba; una absurdidad, no una diferencia de criterios con el juez que interviene anteriormente, sino una absurdidad como un apartamiento a las reglas de la lógica</w:t>
      </w:r>
      <w:r>
        <w:rPr>
          <w:rFonts w:ascii="Arial" w:eastAsia="Arial" w:hAnsi="Arial" w:cs="Arial"/>
        </w:rPr>
        <w:t>...”.</w:t>
      </w:r>
    </w:p>
    <w:p w:rsidR="0029259F" w:rsidRDefault="00E60EFC">
      <w:pPr>
        <w:widowControl/>
        <w:spacing w:before="200" w:after="160" w:line="360" w:lineRule="auto"/>
        <w:ind w:firstLine="2694"/>
        <w:jc w:val="both"/>
        <w:rPr>
          <w:rFonts w:ascii="Arial" w:eastAsia="Arial" w:hAnsi="Arial" w:cs="Arial"/>
          <w:highlight w:val="white"/>
        </w:rPr>
      </w:pPr>
      <w:r>
        <w:rPr>
          <w:rFonts w:ascii="Arial" w:eastAsia="Arial" w:hAnsi="Arial" w:cs="Arial"/>
          <w:highlight w:val="white"/>
        </w:rPr>
        <w:t xml:space="preserve">El postulante, a criterio de quienes firmamos el presente, realizó una exposición con respuestas y consideraciones que resultaron satisfactorias.  Debiéndose resaltar que no evadió brindar sus conceptos y sus propios puntos de vista, exponiendo con claridad su pensamiento respecto de todas y cada de las cuestiones por las cuáles fue interrogado por los miembros de la Comisión. </w:t>
      </w:r>
    </w:p>
    <w:p w:rsidR="0029259F" w:rsidRDefault="00E60EFC">
      <w:pPr>
        <w:widowControl/>
        <w:spacing w:before="200" w:after="160" w:line="360" w:lineRule="auto"/>
        <w:ind w:firstLine="2694"/>
        <w:jc w:val="both"/>
        <w:rPr>
          <w:rFonts w:ascii="Arial" w:eastAsia="Arial" w:hAnsi="Arial" w:cs="Arial"/>
          <w:highlight w:val="white"/>
        </w:rPr>
      </w:pPr>
      <w:r>
        <w:rPr>
          <w:rFonts w:ascii="Arial" w:eastAsia="Arial" w:hAnsi="Arial" w:cs="Arial"/>
          <w:highlight w:val="white"/>
        </w:rPr>
        <w:t xml:space="preserve">A nuestro entender, </w:t>
      </w:r>
      <w:r>
        <w:rPr>
          <w:rFonts w:ascii="Arial" w:eastAsia="Arial" w:hAnsi="Arial" w:cs="Arial"/>
        </w:rPr>
        <w:t xml:space="preserve">Dr. CARBONELL, </w:t>
      </w:r>
      <w:r>
        <w:rPr>
          <w:rFonts w:ascii="Arial" w:eastAsia="Arial" w:hAnsi="Arial" w:cs="Arial"/>
          <w:highlight w:val="white"/>
        </w:rPr>
        <w:t>reúne los requisitos previstos en el artículo 188 de la Constitución Provincial en cuanto prescribe que: “</w:t>
      </w:r>
      <w:r>
        <w:rPr>
          <w:rFonts w:ascii="Arial" w:eastAsia="Arial" w:hAnsi="Arial" w:cs="Arial"/>
          <w:i/>
          <w:highlight w:val="white"/>
        </w:rPr>
        <w:t>Para ser miembro del Superior Tribunal (...) se requiere ser ciudadano argentino, tener título nacional de abogado, treinta años de edad, seis por lo menos en el ejercicio activo de la profesión de abogado o de la magistratura</w:t>
      </w:r>
      <w:r>
        <w:rPr>
          <w:rFonts w:ascii="Arial" w:eastAsia="Arial" w:hAnsi="Arial" w:cs="Arial"/>
          <w:highlight w:val="white"/>
        </w:rPr>
        <w:t>”.</w:t>
      </w:r>
    </w:p>
    <w:p w:rsidR="0029259F" w:rsidRDefault="00E60EFC">
      <w:pPr>
        <w:widowControl/>
        <w:spacing w:before="200" w:after="160" w:line="360" w:lineRule="auto"/>
        <w:ind w:firstLine="2694"/>
        <w:jc w:val="both"/>
        <w:rPr>
          <w:rFonts w:ascii="Arial" w:eastAsia="Arial" w:hAnsi="Arial" w:cs="Arial"/>
          <w:highlight w:val="white"/>
        </w:rPr>
      </w:pPr>
      <w:r>
        <w:rPr>
          <w:rFonts w:ascii="Arial" w:eastAsia="Arial" w:hAnsi="Arial" w:cs="Arial"/>
          <w:highlight w:val="white"/>
        </w:rPr>
        <w:t>Además, en una valoración objetiva entendemos que el magistrado reúne los requisitos de honestidad, trayectoria e idoneidad -que no es lo mismo que especialidad-; al mismo tiempo, vemos que propone actuar dentro del marco de la legalidad pero con eficiencia y eficacia para el sistema judicial entrerriano, sosteniendo la necesidad de brindar plena accesibilidad al justiciable.</w:t>
      </w:r>
    </w:p>
    <w:p w:rsidR="0029259F" w:rsidRDefault="00E60EFC">
      <w:pPr>
        <w:widowControl/>
        <w:spacing w:before="200" w:after="160" w:line="360" w:lineRule="auto"/>
        <w:ind w:firstLine="2694"/>
        <w:jc w:val="both"/>
        <w:rPr>
          <w:rFonts w:ascii="Arial" w:eastAsia="Arial" w:hAnsi="Arial" w:cs="Arial"/>
          <w:b/>
          <w:color w:val="000000"/>
        </w:rPr>
      </w:pPr>
      <w:r>
        <w:rPr>
          <w:rFonts w:ascii="Arial" w:eastAsia="Arial" w:hAnsi="Arial" w:cs="Arial"/>
          <w:color w:val="000000"/>
        </w:rPr>
        <w:t xml:space="preserve">Es por todo lo expuesto, que esta Comisión de Asuntos Constitucionales y Acuerdos, aconseja conceder el </w:t>
      </w:r>
      <w:r>
        <w:rPr>
          <w:rFonts w:ascii="Arial" w:eastAsia="Arial" w:hAnsi="Arial" w:cs="Arial"/>
        </w:rPr>
        <w:t>a</w:t>
      </w:r>
      <w:r>
        <w:rPr>
          <w:rFonts w:ascii="Arial" w:eastAsia="Arial" w:hAnsi="Arial" w:cs="Arial"/>
          <w:color w:val="000000"/>
        </w:rPr>
        <w:t xml:space="preserve">cuerdo Constitucional solicitado por el Poder Ejecutivo Provincial. </w:t>
      </w:r>
    </w:p>
    <w:p w:rsidR="0029259F" w:rsidRDefault="0029259F">
      <w:pPr>
        <w:pBdr>
          <w:top w:val="nil"/>
          <w:left w:val="nil"/>
          <w:bottom w:val="nil"/>
          <w:right w:val="nil"/>
          <w:between w:val="nil"/>
        </w:pBdr>
        <w:spacing w:before="280" w:line="360" w:lineRule="auto"/>
        <w:jc w:val="center"/>
        <w:rPr>
          <w:rFonts w:ascii="Arial" w:eastAsia="Arial" w:hAnsi="Arial" w:cs="Arial"/>
          <w:b/>
          <w:color w:val="000000"/>
        </w:rPr>
      </w:pPr>
    </w:p>
    <w:p w:rsidR="0029259F" w:rsidRDefault="00E60EFC">
      <w:pPr>
        <w:pBdr>
          <w:top w:val="nil"/>
          <w:left w:val="nil"/>
          <w:bottom w:val="nil"/>
          <w:right w:val="nil"/>
          <w:between w:val="nil"/>
        </w:pBdr>
        <w:spacing w:before="280" w:line="360" w:lineRule="auto"/>
        <w:jc w:val="center"/>
        <w:rPr>
          <w:rFonts w:ascii="Arial" w:eastAsia="Arial" w:hAnsi="Arial" w:cs="Arial"/>
          <w:b/>
        </w:rPr>
      </w:pPr>
      <w:r>
        <w:br w:type="page"/>
      </w:r>
    </w:p>
    <w:p w:rsidR="0029259F" w:rsidRDefault="00E60EFC">
      <w:pPr>
        <w:pBdr>
          <w:top w:val="nil"/>
          <w:left w:val="nil"/>
          <w:bottom w:val="nil"/>
          <w:right w:val="nil"/>
          <w:between w:val="nil"/>
        </w:pBdr>
        <w:spacing w:before="280" w:line="360" w:lineRule="auto"/>
        <w:jc w:val="center"/>
        <w:rPr>
          <w:color w:val="000000"/>
        </w:rPr>
      </w:pPr>
      <w:r>
        <w:rPr>
          <w:rFonts w:ascii="Arial" w:eastAsia="Arial" w:hAnsi="Arial" w:cs="Arial"/>
          <w:b/>
          <w:color w:val="000000"/>
        </w:rPr>
        <w:t>LA HONORABLE CÁMARA DE SENADORES DE ENTRE RÍOS</w:t>
      </w:r>
    </w:p>
    <w:p w:rsidR="0029259F" w:rsidRDefault="00E60EFC">
      <w:pPr>
        <w:pStyle w:val="Ttulo3"/>
        <w:numPr>
          <w:ilvl w:val="2"/>
          <w:numId w:val="1"/>
        </w:numPr>
        <w:spacing w:line="360" w:lineRule="auto"/>
        <w:jc w:val="center"/>
        <w:rPr>
          <w:u w:val="single"/>
        </w:rPr>
      </w:pPr>
      <w:r>
        <w:rPr>
          <w:sz w:val="24"/>
          <w:szCs w:val="24"/>
        </w:rPr>
        <w:t>RESUELVE:</w:t>
      </w:r>
    </w:p>
    <w:p w:rsidR="0029259F" w:rsidRDefault="00E60EFC">
      <w:pPr>
        <w:spacing w:line="360" w:lineRule="auto"/>
        <w:ind w:firstLine="720"/>
        <w:jc w:val="both"/>
        <w:rPr>
          <w:rFonts w:ascii="Arial" w:eastAsia="Arial" w:hAnsi="Arial" w:cs="Arial"/>
        </w:rPr>
      </w:pPr>
      <w:r>
        <w:rPr>
          <w:rFonts w:ascii="Arial" w:eastAsia="Arial" w:hAnsi="Arial" w:cs="Arial"/>
          <w:b/>
          <w:u w:val="single"/>
        </w:rPr>
        <w:t>ARTÍCULO 1º</w:t>
      </w:r>
      <w:r>
        <w:rPr>
          <w:rFonts w:ascii="Arial" w:eastAsia="Arial" w:hAnsi="Arial" w:cs="Arial"/>
        </w:rPr>
        <w:t xml:space="preserve">: Prestar el Acuerdo Constitucional, solicitado por el Poder Ejecutivo, para nombrar Juez Vocal de la Sala Nº II en lo Civil y Comercial del Superior Tribunal de Justicia de la Provincia de Entre Ríos, al </w:t>
      </w:r>
      <w:r>
        <w:rPr>
          <w:rFonts w:ascii="Arial" w:eastAsia="Arial" w:hAnsi="Arial" w:cs="Arial"/>
          <w:b/>
        </w:rPr>
        <w:t>Dr. Martín Francisco CARBONELL</w:t>
      </w:r>
      <w:r>
        <w:rPr>
          <w:rFonts w:ascii="Arial" w:eastAsia="Arial" w:hAnsi="Arial" w:cs="Arial"/>
        </w:rPr>
        <w:t>,</w:t>
      </w:r>
      <w:r>
        <w:rPr>
          <w:rFonts w:ascii="Arial" w:eastAsia="Arial" w:hAnsi="Arial" w:cs="Arial"/>
          <w:b/>
        </w:rPr>
        <w:t xml:space="preserve"> </w:t>
      </w:r>
      <w:r>
        <w:rPr>
          <w:rFonts w:ascii="Arial" w:eastAsia="Arial" w:hAnsi="Arial" w:cs="Arial"/>
        </w:rPr>
        <w:t>D.N.I. Nº 14.998.273, clase 1962.-</w:t>
      </w:r>
    </w:p>
    <w:p w:rsidR="0029259F" w:rsidRDefault="00E60EFC">
      <w:pPr>
        <w:pBdr>
          <w:top w:val="nil"/>
          <w:left w:val="nil"/>
          <w:bottom w:val="nil"/>
          <w:right w:val="nil"/>
          <w:between w:val="nil"/>
        </w:pBdr>
        <w:spacing w:before="280" w:line="360" w:lineRule="auto"/>
        <w:ind w:firstLine="720"/>
        <w:jc w:val="both"/>
        <w:rPr>
          <w:rFonts w:ascii="Arial" w:eastAsia="Arial" w:hAnsi="Arial" w:cs="Arial"/>
          <w:color w:val="000000"/>
        </w:rPr>
      </w:pPr>
      <w:r>
        <w:rPr>
          <w:rFonts w:ascii="Arial" w:eastAsia="Arial" w:hAnsi="Arial" w:cs="Arial"/>
          <w:b/>
          <w:color w:val="000000"/>
          <w:u w:val="single"/>
        </w:rPr>
        <w:t>ARTÍCULO 2º</w:t>
      </w:r>
      <w:r>
        <w:rPr>
          <w:rFonts w:ascii="Arial" w:eastAsia="Arial" w:hAnsi="Arial" w:cs="Arial"/>
          <w:color w:val="000000"/>
        </w:rPr>
        <w:t>: Comuníquese, etc.-</w:t>
      </w:r>
    </w:p>
    <w:p w:rsidR="0029259F" w:rsidRDefault="0029259F">
      <w:pPr>
        <w:pStyle w:val="Ttulo2"/>
        <w:numPr>
          <w:ilvl w:val="1"/>
          <w:numId w:val="1"/>
        </w:numPr>
        <w:spacing w:line="360" w:lineRule="auto"/>
        <w:jc w:val="both"/>
        <w:rPr>
          <w:rFonts w:ascii="Arial" w:eastAsia="Arial" w:hAnsi="Arial" w:cs="Arial"/>
          <w:sz w:val="24"/>
          <w:szCs w:val="24"/>
        </w:rPr>
      </w:pPr>
    </w:p>
    <w:p w:rsidR="0029259F" w:rsidRDefault="00E60EFC">
      <w:pPr>
        <w:pStyle w:val="Ttulo2"/>
        <w:spacing w:line="360" w:lineRule="auto"/>
        <w:ind w:firstLine="576"/>
        <w:jc w:val="right"/>
        <w:rPr>
          <w:rFonts w:ascii="Arial" w:eastAsia="Arial" w:hAnsi="Arial" w:cs="Arial"/>
          <w:b w:val="0"/>
          <w:sz w:val="24"/>
          <w:szCs w:val="24"/>
        </w:rPr>
      </w:pPr>
      <w:r>
        <w:rPr>
          <w:rFonts w:ascii="Arial" w:eastAsia="Arial" w:hAnsi="Arial" w:cs="Arial"/>
          <w:sz w:val="24"/>
          <w:szCs w:val="24"/>
        </w:rPr>
        <w:t>PARANÁ, 11 de Diciembre de 2018</w:t>
      </w:r>
      <w:r>
        <w:rPr>
          <w:rFonts w:ascii="Arial" w:eastAsia="Arial" w:hAnsi="Arial" w:cs="Arial"/>
          <w:b w:val="0"/>
          <w:sz w:val="24"/>
          <w:szCs w:val="24"/>
        </w:rPr>
        <w:t xml:space="preserve">. </w:t>
      </w:r>
    </w:p>
    <w:p w:rsidR="0029259F" w:rsidRDefault="00E60EFC">
      <w:pPr>
        <w:pStyle w:val="Ttulo2"/>
        <w:spacing w:line="360" w:lineRule="auto"/>
        <w:ind w:firstLine="576"/>
        <w:jc w:val="right"/>
        <w:rPr>
          <w:rFonts w:ascii="Arial" w:eastAsia="Arial" w:hAnsi="Arial" w:cs="Arial"/>
        </w:rPr>
      </w:pPr>
      <w:r>
        <w:rPr>
          <w:rFonts w:ascii="Arial" w:eastAsia="Arial" w:hAnsi="Arial" w:cs="Arial"/>
          <w:b w:val="0"/>
          <w:sz w:val="24"/>
          <w:szCs w:val="24"/>
        </w:rPr>
        <w:t>Sala de Comisiones.</w:t>
      </w:r>
    </w:p>
    <w:p w:rsidR="0029259F" w:rsidRDefault="0029259F">
      <w:pPr>
        <w:jc w:val="both"/>
        <w:rPr>
          <w:rFonts w:ascii="Arial" w:eastAsia="Arial" w:hAnsi="Arial" w:cs="Arial"/>
          <w:b/>
        </w:rPr>
      </w:pPr>
    </w:p>
    <w:p w:rsidR="0029259F" w:rsidRDefault="0029259F">
      <w:pPr>
        <w:jc w:val="both"/>
        <w:rPr>
          <w:rFonts w:ascii="Arial" w:eastAsia="Arial" w:hAnsi="Arial" w:cs="Arial"/>
          <w:b/>
        </w:rPr>
      </w:pPr>
    </w:p>
    <w:p w:rsidR="0029259F" w:rsidRDefault="0029259F">
      <w:pPr>
        <w:jc w:val="both"/>
        <w:rPr>
          <w:rFonts w:ascii="Arial" w:eastAsia="Arial" w:hAnsi="Arial" w:cs="Arial"/>
          <w:b/>
        </w:rPr>
      </w:pPr>
    </w:p>
    <w:p w:rsidR="0029259F" w:rsidRDefault="00E60EFC">
      <w:pPr>
        <w:jc w:val="both"/>
        <w:rPr>
          <w:rFonts w:ascii="Arial" w:eastAsia="Arial" w:hAnsi="Arial" w:cs="Arial"/>
        </w:rPr>
      </w:pPr>
      <w:r>
        <w:rPr>
          <w:rFonts w:ascii="Arial" w:eastAsia="Arial" w:hAnsi="Arial" w:cs="Arial"/>
          <w:b/>
        </w:rPr>
        <w:t>LARRARTE</w:t>
      </w:r>
      <w:r>
        <w:rPr>
          <w:rFonts w:ascii="Arial" w:eastAsia="Arial" w:hAnsi="Arial" w:cs="Arial"/>
        </w:rPr>
        <w:t xml:space="preserve">, Lucas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GIANO</w:t>
      </w:r>
      <w:r>
        <w:rPr>
          <w:rFonts w:ascii="Arial" w:eastAsia="Arial" w:hAnsi="Arial" w:cs="Arial"/>
        </w:rPr>
        <w:t>, Ángel F.</w:t>
      </w:r>
    </w:p>
    <w:p w:rsidR="0029259F" w:rsidRDefault="0029259F">
      <w:pPr>
        <w:jc w:val="both"/>
        <w:rPr>
          <w:rFonts w:ascii="Arial" w:eastAsia="Arial" w:hAnsi="Arial" w:cs="Arial"/>
        </w:rPr>
      </w:pPr>
    </w:p>
    <w:p w:rsidR="0029259F" w:rsidRDefault="0029259F">
      <w:pPr>
        <w:jc w:val="both"/>
        <w:rPr>
          <w:rFonts w:ascii="Arial" w:eastAsia="Arial" w:hAnsi="Arial" w:cs="Arial"/>
        </w:rPr>
      </w:pPr>
    </w:p>
    <w:p w:rsidR="0029259F" w:rsidRDefault="0029259F">
      <w:pPr>
        <w:jc w:val="both"/>
        <w:rPr>
          <w:rFonts w:ascii="Arial" w:eastAsia="Arial" w:hAnsi="Arial" w:cs="Arial"/>
          <w:b/>
        </w:rPr>
      </w:pPr>
    </w:p>
    <w:p w:rsidR="0029259F" w:rsidRDefault="00E60EFC">
      <w:pPr>
        <w:jc w:val="both"/>
        <w:rPr>
          <w:rFonts w:ascii="Arial" w:eastAsia="Arial" w:hAnsi="Arial" w:cs="Arial"/>
        </w:rPr>
      </w:pPr>
      <w:r>
        <w:rPr>
          <w:rFonts w:ascii="Arial" w:eastAsia="Arial" w:hAnsi="Arial" w:cs="Arial"/>
          <w:b/>
        </w:rPr>
        <w:t>CANALI</w:t>
      </w:r>
      <w:r>
        <w:rPr>
          <w:rFonts w:ascii="Arial" w:eastAsia="Arial" w:hAnsi="Arial" w:cs="Arial"/>
        </w:rPr>
        <w:t>, Pablo A.</w:t>
      </w:r>
      <w:r>
        <w:rPr>
          <w:rFonts w:ascii="Arial" w:eastAsia="Arial" w:hAnsi="Arial" w:cs="Arial"/>
        </w:rPr>
        <w:tab/>
        <w:t xml:space="preserv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MIRANDA</w:t>
      </w:r>
      <w:r>
        <w:rPr>
          <w:rFonts w:ascii="Arial" w:eastAsia="Arial" w:hAnsi="Arial" w:cs="Arial"/>
        </w:rPr>
        <w:t>, Nancy S.</w:t>
      </w:r>
    </w:p>
    <w:p w:rsidR="0029259F" w:rsidRDefault="0029259F">
      <w:pPr>
        <w:jc w:val="both"/>
        <w:rPr>
          <w:rFonts w:ascii="Arial" w:eastAsia="Arial" w:hAnsi="Arial" w:cs="Arial"/>
        </w:rPr>
      </w:pPr>
    </w:p>
    <w:p w:rsidR="0029259F" w:rsidRDefault="0029259F">
      <w:pPr>
        <w:jc w:val="both"/>
        <w:rPr>
          <w:rFonts w:ascii="Arial" w:eastAsia="Arial" w:hAnsi="Arial" w:cs="Arial"/>
        </w:rPr>
      </w:pPr>
    </w:p>
    <w:p w:rsidR="0029259F" w:rsidRDefault="0029259F">
      <w:pPr>
        <w:jc w:val="both"/>
        <w:rPr>
          <w:rFonts w:ascii="Arial" w:eastAsia="Arial" w:hAnsi="Arial" w:cs="Arial"/>
          <w:b/>
        </w:rPr>
      </w:pPr>
    </w:p>
    <w:p w:rsidR="0029259F" w:rsidRDefault="00E60EFC">
      <w:pPr>
        <w:jc w:val="both"/>
        <w:rPr>
          <w:rFonts w:ascii="Arial" w:eastAsia="Arial" w:hAnsi="Arial" w:cs="Arial"/>
        </w:rPr>
      </w:pPr>
      <w:r>
        <w:rPr>
          <w:rFonts w:ascii="Arial" w:eastAsia="Arial" w:hAnsi="Arial" w:cs="Arial"/>
          <w:b/>
        </w:rPr>
        <w:t>FERRARI</w:t>
      </w:r>
      <w:r>
        <w:rPr>
          <w:rFonts w:ascii="Arial" w:eastAsia="Arial" w:hAnsi="Arial" w:cs="Arial"/>
        </w:rPr>
        <w:t xml:space="preserve">, Roque R.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KISSER</w:t>
      </w:r>
      <w:r>
        <w:rPr>
          <w:rFonts w:ascii="Arial" w:eastAsia="Arial" w:hAnsi="Arial" w:cs="Arial"/>
        </w:rPr>
        <w:t>, Raymundo A.</w:t>
      </w:r>
    </w:p>
    <w:p w:rsidR="0029259F" w:rsidRDefault="0029259F">
      <w:pPr>
        <w:jc w:val="both"/>
        <w:rPr>
          <w:rFonts w:ascii="Arial" w:eastAsia="Arial" w:hAnsi="Arial" w:cs="Arial"/>
        </w:rPr>
      </w:pPr>
    </w:p>
    <w:p w:rsidR="0029259F" w:rsidRDefault="0029259F">
      <w:pPr>
        <w:jc w:val="both"/>
        <w:rPr>
          <w:rFonts w:ascii="Arial" w:eastAsia="Arial" w:hAnsi="Arial" w:cs="Arial"/>
        </w:rPr>
      </w:pPr>
    </w:p>
    <w:p w:rsidR="0029259F" w:rsidRDefault="0029259F">
      <w:pPr>
        <w:jc w:val="both"/>
        <w:rPr>
          <w:rFonts w:ascii="Arial" w:eastAsia="Arial" w:hAnsi="Arial" w:cs="Arial"/>
        </w:rPr>
      </w:pPr>
    </w:p>
    <w:p w:rsidR="0029259F" w:rsidRDefault="00E60EFC">
      <w:pPr>
        <w:jc w:val="both"/>
      </w:pPr>
      <w:r>
        <w:rPr>
          <w:rFonts w:ascii="Arial" w:eastAsia="Arial" w:hAnsi="Arial" w:cs="Arial"/>
          <w:b/>
        </w:rPr>
        <w:t>SCHILD</w:t>
      </w:r>
      <w:r>
        <w:rPr>
          <w:rFonts w:ascii="Arial" w:eastAsia="Arial" w:hAnsi="Arial" w:cs="Arial"/>
        </w:rPr>
        <w:t>, Rogelio Omar</w:t>
      </w:r>
    </w:p>
    <w:p w:rsidR="0029259F" w:rsidRDefault="0029259F">
      <w:pPr>
        <w:pBdr>
          <w:top w:val="nil"/>
          <w:left w:val="nil"/>
          <w:bottom w:val="nil"/>
          <w:right w:val="nil"/>
          <w:between w:val="nil"/>
        </w:pBdr>
        <w:spacing w:before="280" w:line="360" w:lineRule="auto"/>
        <w:jc w:val="both"/>
        <w:rPr>
          <w:rFonts w:ascii="Arial" w:eastAsia="Arial" w:hAnsi="Arial" w:cs="Arial"/>
          <w:b/>
          <w:color w:val="000000"/>
        </w:rPr>
      </w:pPr>
    </w:p>
    <w:p w:rsidR="0029259F" w:rsidRDefault="0029259F">
      <w:pPr>
        <w:pBdr>
          <w:top w:val="nil"/>
          <w:left w:val="nil"/>
          <w:bottom w:val="nil"/>
          <w:right w:val="nil"/>
          <w:between w:val="nil"/>
        </w:pBdr>
        <w:spacing w:before="280" w:line="360" w:lineRule="auto"/>
        <w:jc w:val="both"/>
        <w:rPr>
          <w:rFonts w:ascii="Arial" w:eastAsia="Arial" w:hAnsi="Arial" w:cs="Arial"/>
          <w:b/>
          <w:color w:val="000000"/>
        </w:rPr>
      </w:pPr>
    </w:p>
    <w:p w:rsidR="0029259F" w:rsidRDefault="0029259F">
      <w:pPr>
        <w:pBdr>
          <w:top w:val="nil"/>
          <w:left w:val="nil"/>
          <w:bottom w:val="nil"/>
          <w:right w:val="nil"/>
          <w:between w:val="nil"/>
        </w:pBdr>
        <w:spacing w:before="280" w:line="360" w:lineRule="auto"/>
        <w:jc w:val="both"/>
        <w:rPr>
          <w:rFonts w:ascii="Arial" w:eastAsia="Arial" w:hAnsi="Arial" w:cs="Arial"/>
          <w:b/>
          <w:color w:val="000000"/>
        </w:rPr>
      </w:pPr>
    </w:p>
    <w:p w:rsidR="0029259F" w:rsidRDefault="0029259F">
      <w:pPr>
        <w:pBdr>
          <w:top w:val="nil"/>
          <w:left w:val="nil"/>
          <w:bottom w:val="nil"/>
          <w:right w:val="nil"/>
          <w:between w:val="nil"/>
        </w:pBdr>
        <w:spacing w:before="280" w:line="360" w:lineRule="auto"/>
        <w:jc w:val="both"/>
        <w:rPr>
          <w:rFonts w:ascii="Arial" w:eastAsia="Arial" w:hAnsi="Arial" w:cs="Arial"/>
          <w:b/>
          <w:color w:val="000000"/>
        </w:rPr>
      </w:pPr>
    </w:p>
    <w:p w:rsidR="0029259F" w:rsidRDefault="0029259F"/>
    <w:sectPr w:rsidR="0029259F" w:rsidSect="00EA0AF0">
      <w:pgSz w:w="11906" w:h="16838"/>
      <w:pgMar w:top="3402" w:right="851" w:bottom="1418"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G Omega">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D61854"/>
    <w:multiLevelType w:val="multilevel"/>
    <w:tmpl w:val="15A85170"/>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59F"/>
    <w:rsid w:val="002725F4"/>
    <w:rsid w:val="0029259F"/>
    <w:rsid w:val="00CC2F76"/>
    <w:rsid w:val="00E60EFC"/>
    <w:rsid w:val="00EA0AF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46D40E-3085-49C0-8122-DC2F234D3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AR" w:eastAsia="es-A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ind w:left="576" w:hanging="576"/>
      <w:jc w:val="center"/>
      <w:outlineLvl w:val="1"/>
    </w:pPr>
    <w:rPr>
      <w:b/>
      <w:sz w:val="36"/>
      <w:szCs w:val="36"/>
    </w:rPr>
  </w:style>
  <w:style w:type="paragraph" w:styleId="Ttulo3">
    <w:name w:val="heading 3"/>
    <w:basedOn w:val="Normal"/>
    <w:next w:val="Normal"/>
    <w:pPr>
      <w:keepNext/>
      <w:spacing w:before="240" w:after="60"/>
      <w:ind w:left="720" w:hanging="720"/>
      <w:outlineLvl w:val="2"/>
    </w:pPr>
    <w:rPr>
      <w:rFonts w:ascii="Arial" w:eastAsia="Arial" w:hAnsi="Arial" w:cs="Arial"/>
      <w:b/>
      <w:sz w:val="26"/>
      <w:szCs w:val="26"/>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E60EF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0E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1326</Words>
  <Characters>7298</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nestor ferrutti</dc:creator>
  <cp:lastModifiedBy>Senado</cp:lastModifiedBy>
  <cp:revision>2</cp:revision>
  <cp:lastPrinted>2018-12-11T11:23:00Z</cp:lastPrinted>
  <dcterms:created xsi:type="dcterms:W3CDTF">2018-12-12T12:36:00Z</dcterms:created>
  <dcterms:modified xsi:type="dcterms:W3CDTF">2018-12-12T12:36:00Z</dcterms:modified>
</cp:coreProperties>
</file>