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B1E" w:rsidRDefault="007D0B1E" w:rsidP="00D57753">
      <w:pPr>
        <w:spacing w:line="360" w:lineRule="auto"/>
        <w:jc w:val="both"/>
        <w:rPr>
          <w:rFonts w:ascii="Times New Roman" w:hAnsi="Times New Roman" w:cs="Times New Roman"/>
          <w:b/>
          <w:sz w:val="26"/>
          <w:szCs w:val="26"/>
        </w:rPr>
      </w:pPr>
      <w:bookmarkStart w:id="0" w:name="_GoBack"/>
      <w:bookmarkEnd w:id="0"/>
    </w:p>
    <w:p w:rsidR="007D0B1E" w:rsidRPr="00F5413D" w:rsidRDefault="007D0B1E" w:rsidP="00F5413D">
      <w:pPr>
        <w:spacing w:line="360" w:lineRule="auto"/>
        <w:jc w:val="both"/>
        <w:rPr>
          <w:rFonts w:ascii="Times New Roman" w:hAnsi="Times New Roman" w:cs="Times New Roman"/>
          <w:b/>
          <w:sz w:val="26"/>
          <w:szCs w:val="26"/>
        </w:rPr>
      </w:pPr>
    </w:p>
    <w:p w:rsidR="007D0B1E" w:rsidRPr="00F5413D" w:rsidRDefault="007D0B1E" w:rsidP="00F5413D">
      <w:pPr>
        <w:spacing w:line="360" w:lineRule="auto"/>
        <w:jc w:val="both"/>
        <w:rPr>
          <w:rFonts w:ascii="Times New Roman" w:hAnsi="Times New Roman" w:cs="Times New Roman"/>
          <w:b/>
          <w:sz w:val="26"/>
          <w:szCs w:val="26"/>
        </w:rPr>
      </w:pPr>
    </w:p>
    <w:p w:rsidR="00D57753" w:rsidRPr="00F5413D" w:rsidRDefault="00D57753" w:rsidP="00F5413D">
      <w:pPr>
        <w:spacing w:line="360" w:lineRule="auto"/>
        <w:jc w:val="both"/>
        <w:rPr>
          <w:rFonts w:ascii="Times New Roman" w:hAnsi="Times New Roman" w:cs="Times New Roman"/>
          <w:b/>
          <w:sz w:val="26"/>
          <w:szCs w:val="26"/>
        </w:rPr>
      </w:pPr>
      <w:r w:rsidRPr="00F5413D">
        <w:rPr>
          <w:rFonts w:ascii="Times New Roman" w:hAnsi="Times New Roman" w:cs="Times New Roman"/>
          <w:b/>
          <w:sz w:val="26"/>
          <w:szCs w:val="26"/>
        </w:rPr>
        <w:t>HONORABLE SENADO:</w:t>
      </w:r>
    </w:p>
    <w:p w:rsidR="005A6171" w:rsidRPr="0026637B" w:rsidRDefault="00D57753" w:rsidP="005A6171">
      <w:pPr>
        <w:spacing w:after="120" w:line="360" w:lineRule="auto"/>
        <w:ind w:firstLine="2693"/>
        <w:jc w:val="both"/>
        <w:rPr>
          <w:rFonts w:ascii="Times New Roman" w:eastAsia="Garamond" w:hAnsi="Times New Roman" w:cs="Times New Roman"/>
          <w:color w:val="000000"/>
          <w:sz w:val="26"/>
          <w:szCs w:val="26"/>
        </w:rPr>
      </w:pPr>
      <w:r w:rsidRPr="00F5413D">
        <w:rPr>
          <w:rFonts w:ascii="Times New Roman" w:hAnsi="Times New Roman" w:cs="Times New Roman"/>
          <w:sz w:val="26"/>
          <w:szCs w:val="26"/>
        </w:rPr>
        <w:t xml:space="preserve">Vuestra </w:t>
      </w:r>
      <w:r w:rsidRPr="00F5413D">
        <w:rPr>
          <w:rFonts w:ascii="Times New Roman" w:hAnsi="Times New Roman" w:cs="Times New Roman"/>
          <w:b/>
          <w:sz w:val="26"/>
          <w:szCs w:val="26"/>
        </w:rPr>
        <w:t xml:space="preserve">Comisión de Legislación General </w:t>
      </w:r>
      <w:r w:rsidRPr="00F5413D">
        <w:rPr>
          <w:rFonts w:ascii="Times New Roman" w:hAnsi="Times New Roman" w:cs="Times New Roman"/>
          <w:sz w:val="26"/>
          <w:szCs w:val="26"/>
        </w:rPr>
        <w:t>ha considerado el Proyecto de Ley contenido en el Expediente Nº 1</w:t>
      </w:r>
      <w:r w:rsidR="00F5413D">
        <w:rPr>
          <w:rFonts w:ascii="Times New Roman" w:hAnsi="Times New Roman" w:cs="Times New Roman"/>
          <w:sz w:val="26"/>
          <w:szCs w:val="26"/>
        </w:rPr>
        <w:t>2</w:t>
      </w:r>
      <w:r w:rsidR="007D0B1E" w:rsidRPr="00F5413D">
        <w:rPr>
          <w:rFonts w:ascii="Times New Roman" w:hAnsi="Times New Roman" w:cs="Times New Roman"/>
          <w:sz w:val="26"/>
          <w:szCs w:val="26"/>
        </w:rPr>
        <w:t>.</w:t>
      </w:r>
      <w:r w:rsidR="00F5413D">
        <w:rPr>
          <w:rFonts w:ascii="Times New Roman" w:hAnsi="Times New Roman" w:cs="Times New Roman"/>
          <w:sz w:val="26"/>
          <w:szCs w:val="26"/>
        </w:rPr>
        <w:t>926</w:t>
      </w:r>
      <w:r w:rsidRPr="00F5413D">
        <w:rPr>
          <w:rFonts w:ascii="Times New Roman" w:hAnsi="Times New Roman" w:cs="Times New Roman"/>
          <w:sz w:val="26"/>
          <w:szCs w:val="26"/>
        </w:rPr>
        <w:t xml:space="preserve">, autoría del Poder Ejecutivo, por el que se autoriza al </w:t>
      </w:r>
      <w:r w:rsidR="00F5413D">
        <w:rPr>
          <w:rFonts w:ascii="Times New Roman" w:hAnsi="Times New Roman" w:cs="Times New Roman"/>
          <w:sz w:val="26"/>
          <w:szCs w:val="26"/>
        </w:rPr>
        <w:t>Superior Gobierno de la Provincia a aceptar el ofrecimiento de donación form</w:t>
      </w:r>
      <w:r w:rsidR="005F6EE7">
        <w:rPr>
          <w:rFonts w:ascii="Times New Roman" w:hAnsi="Times New Roman" w:cs="Times New Roman"/>
          <w:sz w:val="26"/>
          <w:szCs w:val="26"/>
        </w:rPr>
        <w:t>u</w:t>
      </w:r>
      <w:r w:rsidR="00F5413D">
        <w:rPr>
          <w:rFonts w:ascii="Times New Roman" w:hAnsi="Times New Roman" w:cs="Times New Roman"/>
          <w:sz w:val="26"/>
          <w:szCs w:val="26"/>
        </w:rPr>
        <w:t xml:space="preserve">lado por la Municipalidad de Diamante, de un inmueble con domicilio parcelario en calles </w:t>
      </w:r>
      <w:r w:rsidR="005F6EE7">
        <w:rPr>
          <w:rFonts w:ascii="Times New Roman" w:hAnsi="Times New Roman" w:cs="Times New Roman"/>
          <w:sz w:val="26"/>
          <w:szCs w:val="26"/>
        </w:rPr>
        <w:t xml:space="preserve">esquina San Lorenzo y </w:t>
      </w:r>
      <w:proofErr w:type="spellStart"/>
      <w:r w:rsidR="005F6EE7">
        <w:rPr>
          <w:rFonts w:ascii="Times New Roman" w:hAnsi="Times New Roman" w:cs="Times New Roman"/>
          <w:sz w:val="26"/>
          <w:szCs w:val="26"/>
        </w:rPr>
        <w:t>Noailles</w:t>
      </w:r>
      <w:proofErr w:type="spellEnd"/>
      <w:r w:rsidR="005A6171">
        <w:rPr>
          <w:rFonts w:ascii="Times New Roman" w:hAnsi="Times New Roman" w:cs="Times New Roman"/>
          <w:sz w:val="26"/>
          <w:szCs w:val="26"/>
        </w:rPr>
        <w:t xml:space="preserve">, con cargo de ser destinado a la construcción de un edificio para la creación de una Escuela  primaria de doble, </w:t>
      </w:r>
      <w:r w:rsidR="005A6171" w:rsidRPr="0026637B">
        <w:rPr>
          <w:rFonts w:ascii="Times New Roman" w:eastAsia="Garamond" w:hAnsi="Times New Roman" w:cs="Times New Roman"/>
          <w:sz w:val="26"/>
          <w:szCs w:val="26"/>
        </w:rPr>
        <w:t xml:space="preserve">y, por las razones que dará su miembro informante aconseja su aprobación en los </w:t>
      </w:r>
      <w:r w:rsidR="00EF023A">
        <w:rPr>
          <w:rFonts w:ascii="Times New Roman" w:eastAsia="Garamond" w:hAnsi="Times New Roman" w:cs="Times New Roman"/>
          <w:sz w:val="26"/>
          <w:szCs w:val="26"/>
        </w:rPr>
        <w:t>siguientes términos</w:t>
      </w:r>
      <w:r w:rsidR="005A6171" w:rsidRPr="0026637B">
        <w:rPr>
          <w:rFonts w:ascii="Times New Roman" w:eastAsia="Garamond" w:hAnsi="Times New Roman" w:cs="Times New Roman"/>
          <w:sz w:val="26"/>
          <w:szCs w:val="26"/>
        </w:rPr>
        <w:t>.</w:t>
      </w:r>
    </w:p>
    <w:p w:rsidR="005A6171" w:rsidRDefault="005A6171" w:rsidP="00F5413D">
      <w:pPr>
        <w:spacing w:line="360" w:lineRule="auto"/>
        <w:jc w:val="center"/>
        <w:rPr>
          <w:rFonts w:ascii="Times New Roman" w:hAnsi="Times New Roman" w:cs="Times New Roman"/>
          <w:b/>
          <w:sz w:val="26"/>
          <w:szCs w:val="26"/>
        </w:rPr>
      </w:pPr>
    </w:p>
    <w:p w:rsidR="00D57753" w:rsidRPr="00F5413D" w:rsidRDefault="00D57753" w:rsidP="00F5413D">
      <w:pPr>
        <w:spacing w:line="360" w:lineRule="auto"/>
        <w:jc w:val="center"/>
        <w:rPr>
          <w:rFonts w:ascii="Times New Roman" w:hAnsi="Times New Roman" w:cs="Times New Roman"/>
          <w:b/>
          <w:sz w:val="26"/>
          <w:szCs w:val="26"/>
        </w:rPr>
      </w:pPr>
      <w:r w:rsidRPr="00F5413D">
        <w:rPr>
          <w:rFonts w:ascii="Times New Roman" w:hAnsi="Times New Roman" w:cs="Times New Roman"/>
          <w:b/>
          <w:sz w:val="26"/>
          <w:szCs w:val="26"/>
        </w:rPr>
        <w:t>LA LEGISLATURA DE LA PROVINCIA DE ENTRE RÍOS SANCIONA CON FUERZA DE</w:t>
      </w:r>
    </w:p>
    <w:p w:rsidR="00D57753" w:rsidRPr="00F5413D" w:rsidRDefault="00D57753" w:rsidP="00F5413D">
      <w:pPr>
        <w:spacing w:line="360" w:lineRule="auto"/>
        <w:jc w:val="center"/>
        <w:rPr>
          <w:rFonts w:ascii="Times New Roman" w:hAnsi="Times New Roman" w:cs="Times New Roman"/>
          <w:b/>
          <w:sz w:val="26"/>
          <w:szCs w:val="26"/>
        </w:rPr>
      </w:pPr>
      <w:r w:rsidRPr="00F5413D">
        <w:rPr>
          <w:rFonts w:ascii="Times New Roman" w:hAnsi="Times New Roman" w:cs="Times New Roman"/>
          <w:b/>
          <w:sz w:val="26"/>
          <w:szCs w:val="26"/>
        </w:rPr>
        <w:t>LEY:</w:t>
      </w:r>
    </w:p>
    <w:p w:rsidR="00A80BC8" w:rsidRPr="00F5413D" w:rsidRDefault="00A80BC8" w:rsidP="00F5413D">
      <w:pPr>
        <w:spacing w:after="0" w:line="360" w:lineRule="auto"/>
        <w:jc w:val="both"/>
        <w:rPr>
          <w:rFonts w:ascii="Times New Roman" w:eastAsia="Times New Roman" w:hAnsi="Times New Roman" w:cs="Times New Roman"/>
          <w:b/>
          <w:bCs/>
          <w:spacing w:val="20"/>
          <w:sz w:val="26"/>
          <w:szCs w:val="26"/>
          <w:lang w:val="es-MX" w:eastAsia="es-ES"/>
        </w:rPr>
      </w:pPr>
    </w:p>
    <w:p w:rsidR="00EB176E" w:rsidRDefault="00F5413D" w:rsidP="00F5413D">
      <w:pPr>
        <w:spacing w:after="0" w:line="360" w:lineRule="auto"/>
        <w:jc w:val="both"/>
        <w:outlineLvl w:val="0"/>
        <w:rPr>
          <w:rFonts w:ascii="Times New Roman" w:eastAsia="Times New Roman" w:hAnsi="Times New Roman" w:cs="Times New Roman"/>
          <w:spacing w:val="20"/>
          <w:sz w:val="26"/>
          <w:szCs w:val="26"/>
          <w:lang w:val="es-MX" w:eastAsia="es-ES"/>
        </w:rPr>
      </w:pPr>
      <w:r w:rsidRPr="00F5413D">
        <w:rPr>
          <w:rFonts w:ascii="Times New Roman" w:eastAsia="Times New Roman" w:hAnsi="Times New Roman" w:cs="Times New Roman"/>
          <w:b/>
          <w:spacing w:val="20"/>
          <w:sz w:val="26"/>
          <w:szCs w:val="26"/>
          <w:u w:val="single"/>
          <w:lang w:val="es-MX" w:eastAsia="es-ES"/>
        </w:rPr>
        <w:t>ARTÍCULO 1º.-</w:t>
      </w:r>
      <w:r w:rsidRPr="00F5413D">
        <w:rPr>
          <w:rFonts w:ascii="Times New Roman" w:eastAsia="Times New Roman" w:hAnsi="Times New Roman" w:cs="Times New Roman"/>
          <w:spacing w:val="20"/>
          <w:sz w:val="26"/>
          <w:szCs w:val="26"/>
          <w:lang w:val="es-MX" w:eastAsia="es-ES"/>
        </w:rPr>
        <w:t xml:space="preserve"> </w:t>
      </w:r>
      <w:proofErr w:type="spellStart"/>
      <w:r w:rsidRPr="00F5413D">
        <w:rPr>
          <w:rFonts w:ascii="Times New Roman" w:eastAsia="Times New Roman" w:hAnsi="Times New Roman" w:cs="Times New Roman"/>
          <w:spacing w:val="20"/>
          <w:sz w:val="26"/>
          <w:szCs w:val="26"/>
          <w:lang w:val="es-MX" w:eastAsia="es-ES"/>
        </w:rPr>
        <w:t>Autorízase</w:t>
      </w:r>
      <w:proofErr w:type="spellEnd"/>
      <w:r w:rsidRPr="00F5413D">
        <w:rPr>
          <w:rFonts w:ascii="Times New Roman" w:eastAsia="Times New Roman" w:hAnsi="Times New Roman" w:cs="Times New Roman"/>
          <w:spacing w:val="20"/>
          <w:sz w:val="26"/>
          <w:szCs w:val="26"/>
          <w:lang w:val="es-MX" w:eastAsia="es-ES"/>
        </w:rPr>
        <w:t xml:space="preserve"> al Superior Gobierno de la Provincia de Entre Ríos, a aceptar el ofrecimiento de donación formulado por la Municipalidad de Diamante, Departamento homónimo, del inmueble que según Plano de Mensura Nº 39.030, Matrícula Nº 013.551, Partida Provincial Nº 118.770, se ubica en la Provincia de Entre Ríos, Departamento Diamante, Municipio Diamante, Planta Urbana, </w:t>
      </w:r>
      <w:r w:rsidR="005A6171">
        <w:rPr>
          <w:rFonts w:ascii="Times New Roman" w:eastAsia="Times New Roman" w:hAnsi="Times New Roman" w:cs="Times New Roman"/>
          <w:spacing w:val="20"/>
          <w:sz w:val="26"/>
          <w:szCs w:val="26"/>
          <w:lang w:val="es-MX" w:eastAsia="es-ES"/>
        </w:rPr>
        <w:t xml:space="preserve">Lote </w:t>
      </w:r>
      <w:r w:rsidRPr="00F5413D">
        <w:rPr>
          <w:rFonts w:ascii="Times New Roman" w:eastAsia="Times New Roman" w:hAnsi="Times New Roman" w:cs="Times New Roman"/>
          <w:spacing w:val="20"/>
          <w:sz w:val="26"/>
          <w:szCs w:val="26"/>
          <w:lang w:val="es-MX" w:eastAsia="es-ES"/>
        </w:rPr>
        <w:t xml:space="preserve">1 de la Manzana Nº 466, con domicilio parcelario en calles </w:t>
      </w:r>
      <w:r w:rsidR="00B06FC2">
        <w:rPr>
          <w:rFonts w:ascii="Times New Roman" w:eastAsia="Times New Roman" w:hAnsi="Times New Roman" w:cs="Times New Roman"/>
          <w:spacing w:val="20"/>
          <w:sz w:val="26"/>
          <w:szCs w:val="26"/>
          <w:lang w:val="es-MX" w:eastAsia="es-ES"/>
        </w:rPr>
        <w:t xml:space="preserve">esquina </w:t>
      </w:r>
      <w:r w:rsidR="005A6171">
        <w:rPr>
          <w:rFonts w:ascii="Times New Roman" w:eastAsia="Times New Roman" w:hAnsi="Times New Roman" w:cs="Times New Roman"/>
          <w:spacing w:val="20"/>
          <w:sz w:val="26"/>
          <w:szCs w:val="26"/>
          <w:lang w:val="es-MX" w:eastAsia="es-ES"/>
        </w:rPr>
        <w:t xml:space="preserve">San Lorenzo y </w:t>
      </w:r>
      <w:proofErr w:type="spellStart"/>
      <w:r w:rsidR="005A6171">
        <w:rPr>
          <w:rFonts w:ascii="Times New Roman" w:eastAsia="Times New Roman" w:hAnsi="Times New Roman" w:cs="Times New Roman"/>
          <w:spacing w:val="20"/>
          <w:sz w:val="26"/>
          <w:szCs w:val="26"/>
          <w:lang w:val="es-MX" w:eastAsia="es-ES"/>
        </w:rPr>
        <w:t>Noailles</w:t>
      </w:r>
      <w:proofErr w:type="spellEnd"/>
      <w:r w:rsidRPr="00F5413D">
        <w:rPr>
          <w:rFonts w:ascii="Times New Roman" w:eastAsia="Times New Roman" w:hAnsi="Times New Roman" w:cs="Times New Roman"/>
          <w:spacing w:val="20"/>
          <w:sz w:val="26"/>
          <w:szCs w:val="26"/>
          <w:lang w:val="es-MX" w:eastAsia="es-ES"/>
        </w:rPr>
        <w:t xml:space="preserve">, con una superficie de cuatro mil setecientos setenta </w:t>
      </w:r>
    </w:p>
    <w:p w:rsidR="00EB176E" w:rsidRDefault="00EB176E" w:rsidP="00F5413D">
      <w:pPr>
        <w:spacing w:after="0" w:line="360" w:lineRule="auto"/>
        <w:jc w:val="both"/>
        <w:outlineLvl w:val="0"/>
        <w:rPr>
          <w:rFonts w:ascii="Times New Roman" w:eastAsia="Times New Roman" w:hAnsi="Times New Roman" w:cs="Times New Roman"/>
          <w:spacing w:val="20"/>
          <w:sz w:val="26"/>
          <w:szCs w:val="26"/>
          <w:lang w:val="es-MX" w:eastAsia="es-ES"/>
        </w:rPr>
      </w:pPr>
    </w:p>
    <w:p w:rsidR="00EB176E" w:rsidRDefault="00EB176E" w:rsidP="00F5413D">
      <w:pPr>
        <w:spacing w:after="0" w:line="360" w:lineRule="auto"/>
        <w:jc w:val="both"/>
        <w:outlineLvl w:val="0"/>
        <w:rPr>
          <w:rFonts w:ascii="Times New Roman" w:eastAsia="Times New Roman" w:hAnsi="Times New Roman" w:cs="Times New Roman"/>
          <w:spacing w:val="20"/>
          <w:sz w:val="26"/>
          <w:szCs w:val="26"/>
          <w:lang w:val="es-MX" w:eastAsia="es-ES"/>
        </w:rPr>
      </w:pPr>
    </w:p>
    <w:p w:rsidR="00EB176E" w:rsidRDefault="00EB176E" w:rsidP="00F5413D">
      <w:pPr>
        <w:spacing w:after="0" w:line="360" w:lineRule="auto"/>
        <w:jc w:val="both"/>
        <w:outlineLvl w:val="0"/>
        <w:rPr>
          <w:rFonts w:ascii="Times New Roman" w:eastAsia="Times New Roman" w:hAnsi="Times New Roman" w:cs="Times New Roman"/>
          <w:spacing w:val="20"/>
          <w:sz w:val="26"/>
          <w:szCs w:val="26"/>
          <w:lang w:val="es-MX" w:eastAsia="es-ES"/>
        </w:rPr>
      </w:pPr>
    </w:p>
    <w:p w:rsidR="00EB176E" w:rsidRDefault="00EB176E" w:rsidP="00F5413D">
      <w:pPr>
        <w:spacing w:after="0" w:line="360" w:lineRule="auto"/>
        <w:jc w:val="both"/>
        <w:outlineLvl w:val="0"/>
        <w:rPr>
          <w:rFonts w:ascii="Times New Roman" w:eastAsia="Times New Roman" w:hAnsi="Times New Roman" w:cs="Times New Roman"/>
          <w:spacing w:val="20"/>
          <w:sz w:val="26"/>
          <w:szCs w:val="26"/>
          <w:lang w:val="es-MX" w:eastAsia="es-ES"/>
        </w:rPr>
      </w:pPr>
    </w:p>
    <w:p w:rsidR="00EB176E" w:rsidRDefault="00EB176E" w:rsidP="00F5413D">
      <w:pPr>
        <w:spacing w:after="0" w:line="360" w:lineRule="auto"/>
        <w:jc w:val="both"/>
        <w:outlineLvl w:val="0"/>
        <w:rPr>
          <w:rFonts w:ascii="Times New Roman" w:eastAsia="Times New Roman" w:hAnsi="Times New Roman" w:cs="Times New Roman"/>
          <w:spacing w:val="20"/>
          <w:sz w:val="26"/>
          <w:szCs w:val="26"/>
          <w:lang w:val="es-MX" w:eastAsia="es-ES"/>
        </w:rPr>
      </w:pPr>
    </w:p>
    <w:p w:rsidR="005A6171" w:rsidRDefault="00F5413D" w:rsidP="00F5413D">
      <w:pPr>
        <w:spacing w:after="0" w:line="360" w:lineRule="auto"/>
        <w:jc w:val="both"/>
        <w:outlineLvl w:val="0"/>
        <w:rPr>
          <w:rFonts w:ascii="Times New Roman" w:eastAsia="Times New Roman" w:hAnsi="Times New Roman" w:cs="Times New Roman"/>
          <w:spacing w:val="20"/>
          <w:sz w:val="26"/>
          <w:szCs w:val="26"/>
          <w:lang w:val="es-MX" w:eastAsia="es-ES"/>
        </w:rPr>
      </w:pPr>
      <w:r w:rsidRPr="00F5413D">
        <w:rPr>
          <w:rFonts w:ascii="Times New Roman" w:eastAsia="Times New Roman" w:hAnsi="Times New Roman" w:cs="Times New Roman"/>
          <w:spacing w:val="20"/>
          <w:sz w:val="26"/>
          <w:szCs w:val="26"/>
          <w:lang w:val="es-MX" w:eastAsia="es-ES"/>
        </w:rPr>
        <w:t>y siete metros cuadrados con setenta y nueve decímetros cuadrados (4.777,79 m</w:t>
      </w:r>
      <w:r w:rsidRPr="00F5413D">
        <w:rPr>
          <w:rFonts w:ascii="Times New Roman" w:eastAsia="Times New Roman" w:hAnsi="Times New Roman" w:cs="Times New Roman"/>
          <w:spacing w:val="20"/>
          <w:sz w:val="26"/>
          <w:szCs w:val="26"/>
          <w:vertAlign w:val="superscript"/>
          <w:lang w:val="es-MX" w:eastAsia="es-ES"/>
        </w:rPr>
        <w:t>2</w:t>
      </w:r>
      <w:r w:rsidRPr="00F5413D">
        <w:rPr>
          <w:rFonts w:ascii="Times New Roman" w:eastAsia="Times New Roman" w:hAnsi="Times New Roman" w:cs="Times New Roman"/>
          <w:spacing w:val="20"/>
          <w:sz w:val="26"/>
          <w:szCs w:val="26"/>
          <w:lang w:val="es-MX" w:eastAsia="es-ES"/>
        </w:rPr>
        <w:t>) dentro de los siguientes límites y linderos:</w:t>
      </w:r>
    </w:p>
    <w:p w:rsidR="00EB176E" w:rsidRDefault="00F5413D" w:rsidP="00F5413D">
      <w:pPr>
        <w:spacing w:after="0" w:line="360" w:lineRule="auto"/>
        <w:jc w:val="both"/>
        <w:outlineLvl w:val="0"/>
        <w:rPr>
          <w:rFonts w:ascii="Times New Roman" w:eastAsia="Times New Roman" w:hAnsi="Times New Roman" w:cs="Times New Roman"/>
          <w:spacing w:val="20"/>
          <w:sz w:val="26"/>
          <w:szCs w:val="26"/>
          <w:lang w:val="es-MX" w:eastAsia="es-ES"/>
        </w:rPr>
      </w:pPr>
      <w:r w:rsidRPr="00F5413D">
        <w:rPr>
          <w:rFonts w:ascii="Times New Roman" w:eastAsia="Times New Roman" w:hAnsi="Times New Roman" w:cs="Times New Roman"/>
          <w:spacing w:val="20"/>
          <w:sz w:val="26"/>
          <w:szCs w:val="26"/>
          <w:lang w:val="es-MX" w:eastAsia="es-ES"/>
        </w:rPr>
        <w:t xml:space="preserve"> </w:t>
      </w:r>
      <w:r w:rsidRPr="00F5413D">
        <w:rPr>
          <w:rFonts w:ascii="Times New Roman" w:eastAsia="Times New Roman" w:hAnsi="Times New Roman" w:cs="Times New Roman"/>
          <w:b/>
          <w:spacing w:val="20"/>
          <w:sz w:val="26"/>
          <w:szCs w:val="26"/>
          <w:lang w:val="es-MX" w:eastAsia="es-ES"/>
        </w:rPr>
        <w:t>NORTE</w:t>
      </w:r>
      <w:r w:rsidRPr="00F5413D">
        <w:rPr>
          <w:rFonts w:ascii="Times New Roman" w:eastAsia="Times New Roman" w:hAnsi="Times New Roman" w:cs="Times New Roman"/>
          <w:spacing w:val="20"/>
          <w:sz w:val="26"/>
          <w:szCs w:val="26"/>
          <w:lang w:val="es-MX" w:eastAsia="es-ES"/>
        </w:rPr>
        <w:t xml:space="preserve">: </w:t>
      </w:r>
      <w:r w:rsidR="00B06FC2">
        <w:rPr>
          <w:rFonts w:ascii="Times New Roman" w:eastAsia="Times New Roman" w:hAnsi="Times New Roman" w:cs="Times New Roman"/>
          <w:spacing w:val="20"/>
          <w:sz w:val="26"/>
          <w:szCs w:val="26"/>
          <w:lang w:val="es-MX" w:eastAsia="es-ES"/>
        </w:rPr>
        <w:t>recta (1-2) rumbo S77º 43`E de 69,34 metros, lindando con Calle pública</w:t>
      </w:r>
      <w:r w:rsidRPr="00F5413D">
        <w:rPr>
          <w:rFonts w:ascii="Times New Roman" w:eastAsia="Times New Roman" w:hAnsi="Times New Roman" w:cs="Times New Roman"/>
          <w:spacing w:val="20"/>
          <w:sz w:val="26"/>
          <w:szCs w:val="26"/>
          <w:lang w:val="es-MX" w:eastAsia="es-ES"/>
        </w:rPr>
        <w:t>;</w:t>
      </w:r>
    </w:p>
    <w:p w:rsidR="00EB176E" w:rsidRDefault="00F5413D" w:rsidP="00F5413D">
      <w:pPr>
        <w:spacing w:after="0" w:line="360" w:lineRule="auto"/>
        <w:jc w:val="both"/>
        <w:outlineLvl w:val="0"/>
        <w:rPr>
          <w:rFonts w:ascii="Times New Roman" w:eastAsia="Times New Roman" w:hAnsi="Times New Roman" w:cs="Times New Roman"/>
          <w:spacing w:val="20"/>
          <w:sz w:val="26"/>
          <w:szCs w:val="26"/>
          <w:lang w:val="es-MX" w:eastAsia="es-ES"/>
        </w:rPr>
      </w:pPr>
      <w:r w:rsidRPr="00F5413D">
        <w:rPr>
          <w:rFonts w:ascii="Times New Roman" w:eastAsia="Times New Roman" w:hAnsi="Times New Roman" w:cs="Times New Roman"/>
          <w:spacing w:val="20"/>
          <w:sz w:val="26"/>
          <w:szCs w:val="26"/>
          <w:lang w:val="es-MX" w:eastAsia="es-ES"/>
        </w:rPr>
        <w:t xml:space="preserve"> </w:t>
      </w:r>
      <w:r w:rsidRPr="00F5413D">
        <w:rPr>
          <w:rFonts w:ascii="Times New Roman" w:eastAsia="Times New Roman" w:hAnsi="Times New Roman" w:cs="Times New Roman"/>
          <w:b/>
          <w:spacing w:val="20"/>
          <w:sz w:val="26"/>
          <w:szCs w:val="26"/>
          <w:lang w:val="es-MX" w:eastAsia="es-ES"/>
        </w:rPr>
        <w:t>ESTE:</w:t>
      </w:r>
      <w:r w:rsidRPr="00F5413D">
        <w:rPr>
          <w:rFonts w:ascii="Times New Roman" w:eastAsia="Times New Roman" w:hAnsi="Times New Roman" w:cs="Times New Roman"/>
          <w:spacing w:val="20"/>
          <w:sz w:val="26"/>
          <w:szCs w:val="26"/>
          <w:lang w:val="es-MX" w:eastAsia="es-ES"/>
        </w:rPr>
        <w:t xml:space="preserve"> </w:t>
      </w:r>
      <w:r w:rsidR="00EB176E">
        <w:rPr>
          <w:rFonts w:ascii="Times New Roman" w:eastAsia="Times New Roman" w:hAnsi="Times New Roman" w:cs="Times New Roman"/>
          <w:spacing w:val="20"/>
          <w:sz w:val="26"/>
          <w:szCs w:val="26"/>
          <w:lang w:val="es-MX" w:eastAsia="es-ES"/>
        </w:rPr>
        <w:t>recta (2-3) rumbo S12º 20^O de 69,46 metros, lindando con Calle San Lorenzo</w:t>
      </w:r>
      <w:r w:rsidRPr="00F5413D">
        <w:rPr>
          <w:rFonts w:ascii="Times New Roman" w:eastAsia="Times New Roman" w:hAnsi="Times New Roman" w:cs="Times New Roman"/>
          <w:spacing w:val="20"/>
          <w:sz w:val="26"/>
          <w:szCs w:val="26"/>
          <w:lang w:val="es-MX" w:eastAsia="es-ES"/>
        </w:rPr>
        <w:t>;</w:t>
      </w:r>
    </w:p>
    <w:p w:rsidR="00EB176E" w:rsidRPr="00EB176E" w:rsidRDefault="00F5413D" w:rsidP="00F5413D">
      <w:pPr>
        <w:spacing w:after="0" w:line="360" w:lineRule="auto"/>
        <w:jc w:val="both"/>
        <w:outlineLvl w:val="0"/>
        <w:rPr>
          <w:rFonts w:ascii="Times New Roman" w:eastAsia="Times New Roman" w:hAnsi="Times New Roman" w:cs="Times New Roman"/>
          <w:spacing w:val="20"/>
          <w:sz w:val="26"/>
          <w:szCs w:val="26"/>
          <w:lang w:val="es-MX" w:eastAsia="es-ES"/>
        </w:rPr>
      </w:pPr>
      <w:r w:rsidRPr="00F5413D">
        <w:rPr>
          <w:rFonts w:ascii="Times New Roman" w:eastAsia="Times New Roman" w:hAnsi="Times New Roman" w:cs="Times New Roman"/>
          <w:spacing w:val="20"/>
          <w:sz w:val="26"/>
          <w:szCs w:val="26"/>
          <w:lang w:val="es-MX" w:eastAsia="es-ES"/>
        </w:rPr>
        <w:t xml:space="preserve"> </w:t>
      </w:r>
      <w:r w:rsidRPr="00F5413D">
        <w:rPr>
          <w:rFonts w:ascii="Times New Roman" w:eastAsia="Times New Roman" w:hAnsi="Times New Roman" w:cs="Times New Roman"/>
          <w:b/>
          <w:spacing w:val="20"/>
          <w:sz w:val="26"/>
          <w:szCs w:val="26"/>
          <w:lang w:val="es-MX" w:eastAsia="es-ES"/>
        </w:rPr>
        <w:t>SUR</w:t>
      </w:r>
      <w:r w:rsidRPr="00F5413D">
        <w:rPr>
          <w:rFonts w:ascii="Times New Roman" w:eastAsia="Times New Roman" w:hAnsi="Times New Roman" w:cs="Times New Roman"/>
          <w:b/>
          <w:bCs/>
          <w:spacing w:val="20"/>
          <w:sz w:val="26"/>
          <w:szCs w:val="26"/>
          <w:lang w:val="es-MX" w:eastAsia="es-ES"/>
        </w:rPr>
        <w:t xml:space="preserve">: </w:t>
      </w:r>
      <w:r w:rsidR="00EB176E" w:rsidRPr="00EB176E">
        <w:rPr>
          <w:rFonts w:ascii="Times New Roman" w:eastAsia="Times New Roman" w:hAnsi="Times New Roman" w:cs="Times New Roman"/>
          <w:bCs/>
          <w:spacing w:val="20"/>
          <w:sz w:val="26"/>
          <w:szCs w:val="26"/>
          <w:lang w:val="es-MX" w:eastAsia="es-ES"/>
        </w:rPr>
        <w:t xml:space="preserve">rectas a los rumbos: (3-4) N 77º 40¨O de 59, 76 metros, lindando con Calles </w:t>
      </w:r>
      <w:proofErr w:type="spellStart"/>
      <w:r w:rsidR="00EB176E" w:rsidRPr="00EB176E">
        <w:rPr>
          <w:rFonts w:ascii="Times New Roman" w:eastAsia="Times New Roman" w:hAnsi="Times New Roman" w:cs="Times New Roman"/>
          <w:bCs/>
          <w:spacing w:val="20"/>
          <w:sz w:val="26"/>
          <w:szCs w:val="26"/>
          <w:lang w:val="es-MX" w:eastAsia="es-ES"/>
        </w:rPr>
        <w:t>Noailles</w:t>
      </w:r>
      <w:proofErr w:type="spellEnd"/>
      <w:r w:rsidR="00EB176E" w:rsidRPr="00EB176E">
        <w:rPr>
          <w:rFonts w:ascii="Times New Roman" w:eastAsia="Times New Roman" w:hAnsi="Times New Roman" w:cs="Times New Roman"/>
          <w:bCs/>
          <w:spacing w:val="20"/>
          <w:sz w:val="26"/>
          <w:szCs w:val="26"/>
          <w:lang w:val="es-MX" w:eastAsia="es-ES"/>
        </w:rPr>
        <w:t>, (4-7) N 12º 24</w:t>
      </w:r>
      <w:r w:rsidR="00EB176E">
        <w:rPr>
          <w:rFonts w:ascii="Times New Roman" w:eastAsia="Times New Roman" w:hAnsi="Times New Roman" w:cs="Times New Roman"/>
          <w:b/>
          <w:bCs/>
          <w:spacing w:val="20"/>
          <w:sz w:val="26"/>
          <w:szCs w:val="26"/>
          <w:lang w:val="es-MX" w:eastAsia="es-ES"/>
        </w:rPr>
        <w:t xml:space="preserve">` </w:t>
      </w:r>
      <w:r w:rsidR="00EB176E" w:rsidRPr="00EB176E">
        <w:rPr>
          <w:rFonts w:ascii="Times New Roman" w:eastAsia="Times New Roman" w:hAnsi="Times New Roman" w:cs="Times New Roman"/>
          <w:bCs/>
          <w:spacing w:val="20"/>
          <w:sz w:val="26"/>
          <w:szCs w:val="26"/>
          <w:lang w:val="es-MX" w:eastAsia="es-ES"/>
        </w:rPr>
        <w:t xml:space="preserve">E de 3,61  metros y (7-6) N 77º 35´O de 9,52 metros ambas lindando con lote 2 de la </w:t>
      </w:r>
      <w:proofErr w:type="spellStart"/>
      <w:r w:rsidR="00EB176E" w:rsidRPr="00EB176E">
        <w:rPr>
          <w:rFonts w:ascii="Times New Roman" w:eastAsia="Times New Roman" w:hAnsi="Times New Roman" w:cs="Times New Roman"/>
          <w:bCs/>
          <w:spacing w:val="20"/>
          <w:sz w:val="26"/>
          <w:szCs w:val="26"/>
          <w:lang w:val="es-MX" w:eastAsia="es-ES"/>
        </w:rPr>
        <w:t>Municipàlidad</w:t>
      </w:r>
      <w:proofErr w:type="spellEnd"/>
      <w:r w:rsidR="00EB176E" w:rsidRPr="00EB176E">
        <w:rPr>
          <w:rFonts w:ascii="Times New Roman" w:eastAsia="Times New Roman" w:hAnsi="Times New Roman" w:cs="Times New Roman"/>
          <w:bCs/>
          <w:spacing w:val="20"/>
          <w:sz w:val="26"/>
          <w:szCs w:val="26"/>
          <w:lang w:val="es-MX" w:eastAsia="es-ES"/>
        </w:rPr>
        <w:t xml:space="preserve"> de Diamante</w:t>
      </w:r>
      <w:r w:rsidRPr="00F5413D">
        <w:rPr>
          <w:rFonts w:ascii="Times New Roman" w:eastAsia="Times New Roman" w:hAnsi="Times New Roman" w:cs="Times New Roman"/>
          <w:spacing w:val="20"/>
          <w:sz w:val="26"/>
          <w:szCs w:val="26"/>
          <w:lang w:val="es-MX" w:eastAsia="es-ES"/>
        </w:rPr>
        <w:t xml:space="preserve">; </w:t>
      </w:r>
    </w:p>
    <w:p w:rsidR="00F5413D" w:rsidRPr="00F5413D" w:rsidRDefault="00F5413D" w:rsidP="00F5413D">
      <w:pPr>
        <w:spacing w:after="0" w:line="360" w:lineRule="auto"/>
        <w:jc w:val="both"/>
        <w:outlineLvl w:val="0"/>
        <w:rPr>
          <w:rFonts w:ascii="Times New Roman" w:eastAsia="Times New Roman" w:hAnsi="Times New Roman" w:cs="Times New Roman"/>
          <w:spacing w:val="20"/>
          <w:sz w:val="26"/>
          <w:szCs w:val="26"/>
          <w:lang w:val="es-MX" w:eastAsia="es-ES"/>
        </w:rPr>
      </w:pPr>
      <w:r w:rsidRPr="00F5413D">
        <w:rPr>
          <w:rFonts w:ascii="Times New Roman" w:eastAsia="Times New Roman" w:hAnsi="Times New Roman" w:cs="Times New Roman"/>
          <w:b/>
          <w:spacing w:val="20"/>
          <w:sz w:val="26"/>
          <w:szCs w:val="26"/>
          <w:lang w:val="es-MX" w:eastAsia="es-ES"/>
        </w:rPr>
        <w:t xml:space="preserve">OESTE: </w:t>
      </w:r>
      <w:r w:rsidR="00EB176E" w:rsidRPr="00EB176E">
        <w:rPr>
          <w:rFonts w:ascii="Times New Roman" w:eastAsia="Times New Roman" w:hAnsi="Times New Roman" w:cs="Times New Roman"/>
          <w:spacing w:val="20"/>
          <w:sz w:val="26"/>
          <w:szCs w:val="26"/>
          <w:lang w:val="es-MX" w:eastAsia="es-ES"/>
        </w:rPr>
        <w:t xml:space="preserve">recta (6-1) rumbo N 12º 17`E de 65,78 metros, lindando con prolongación de Calle Dr. </w:t>
      </w:r>
      <w:proofErr w:type="spellStart"/>
      <w:r w:rsidR="00EB176E" w:rsidRPr="00EB176E">
        <w:rPr>
          <w:rFonts w:ascii="Times New Roman" w:eastAsia="Times New Roman" w:hAnsi="Times New Roman" w:cs="Times New Roman"/>
          <w:spacing w:val="20"/>
          <w:sz w:val="26"/>
          <w:szCs w:val="26"/>
          <w:lang w:val="es-MX" w:eastAsia="es-ES"/>
        </w:rPr>
        <w:t>Lopez</w:t>
      </w:r>
      <w:proofErr w:type="spellEnd"/>
      <w:r w:rsidRPr="00F5413D">
        <w:rPr>
          <w:rFonts w:ascii="Times New Roman" w:eastAsia="Times New Roman" w:hAnsi="Times New Roman" w:cs="Times New Roman"/>
          <w:spacing w:val="20"/>
          <w:sz w:val="26"/>
          <w:szCs w:val="26"/>
          <w:lang w:val="es-MX" w:eastAsia="es-ES"/>
        </w:rPr>
        <w:t xml:space="preserve">.- </w:t>
      </w:r>
    </w:p>
    <w:p w:rsidR="00F5413D" w:rsidRPr="00F5413D" w:rsidRDefault="00F5413D" w:rsidP="00F5413D">
      <w:pPr>
        <w:spacing w:after="0" w:line="360" w:lineRule="auto"/>
        <w:ind w:right="-1"/>
        <w:jc w:val="both"/>
        <w:rPr>
          <w:rFonts w:ascii="Times New Roman" w:eastAsia="Times New Roman" w:hAnsi="Times New Roman" w:cs="Times New Roman"/>
          <w:b/>
          <w:spacing w:val="20"/>
          <w:sz w:val="26"/>
          <w:szCs w:val="26"/>
          <w:u w:val="single"/>
          <w:lang w:val="es-MX" w:eastAsia="es-ES"/>
        </w:rPr>
      </w:pPr>
    </w:p>
    <w:p w:rsidR="00F5413D" w:rsidRPr="00F5413D" w:rsidRDefault="00F5413D" w:rsidP="00F5413D">
      <w:pPr>
        <w:spacing w:after="0" w:line="360" w:lineRule="auto"/>
        <w:ind w:right="-1"/>
        <w:jc w:val="both"/>
        <w:rPr>
          <w:rFonts w:ascii="Times New Roman" w:eastAsia="Times New Roman" w:hAnsi="Times New Roman" w:cs="Times New Roman"/>
          <w:spacing w:val="20"/>
          <w:sz w:val="26"/>
          <w:szCs w:val="26"/>
          <w:lang w:val="es-MX" w:eastAsia="es-ES"/>
        </w:rPr>
      </w:pPr>
      <w:r w:rsidRPr="00F5413D">
        <w:rPr>
          <w:rFonts w:ascii="Times New Roman" w:eastAsia="Times New Roman" w:hAnsi="Times New Roman" w:cs="Times New Roman"/>
          <w:b/>
          <w:spacing w:val="20"/>
          <w:sz w:val="26"/>
          <w:szCs w:val="26"/>
          <w:u w:val="single"/>
          <w:lang w:val="es-MX" w:eastAsia="es-ES"/>
        </w:rPr>
        <w:t>ARTÍCULO 2º.-</w:t>
      </w:r>
      <w:r w:rsidRPr="00F5413D">
        <w:rPr>
          <w:rFonts w:ascii="Times New Roman" w:eastAsia="Times New Roman" w:hAnsi="Times New Roman" w:cs="Times New Roman"/>
          <w:spacing w:val="20"/>
          <w:sz w:val="26"/>
          <w:szCs w:val="26"/>
          <w:lang w:val="es-MX" w:eastAsia="es-ES"/>
        </w:rPr>
        <w:t xml:space="preserve"> </w:t>
      </w:r>
      <w:proofErr w:type="spellStart"/>
      <w:r w:rsidRPr="00F5413D">
        <w:rPr>
          <w:rFonts w:ascii="Times New Roman" w:eastAsia="Times New Roman" w:hAnsi="Times New Roman" w:cs="Times New Roman"/>
          <w:spacing w:val="20"/>
          <w:sz w:val="26"/>
          <w:szCs w:val="26"/>
          <w:lang w:val="es-MX" w:eastAsia="es-ES"/>
        </w:rPr>
        <w:t>Establécese</w:t>
      </w:r>
      <w:proofErr w:type="spellEnd"/>
      <w:r w:rsidRPr="00F5413D">
        <w:rPr>
          <w:rFonts w:ascii="Times New Roman" w:eastAsia="Times New Roman" w:hAnsi="Times New Roman" w:cs="Times New Roman"/>
          <w:spacing w:val="20"/>
          <w:sz w:val="26"/>
          <w:szCs w:val="26"/>
          <w:lang w:val="es-MX" w:eastAsia="es-ES"/>
        </w:rPr>
        <w:t xml:space="preserve"> que la presente donación es con cargo para el Superior Gobierno de la Provincia de Entre Ríos de destinar el inmueble a la construcción de un edificio para la creación de una Escuela Primaria de Doble Jornada.-</w:t>
      </w:r>
    </w:p>
    <w:p w:rsidR="00F5413D" w:rsidRPr="00F5413D" w:rsidRDefault="00F5413D" w:rsidP="00F5413D">
      <w:pPr>
        <w:spacing w:after="0" w:line="360" w:lineRule="auto"/>
        <w:ind w:right="-1"/>
        <w:jc w:val="both"/>
        <w:rPr>
          <w:rFonts w:ascii="Times New Roman" w:eastAsia="Times New Roman" w:hAnsi="Times New Roman" w:cs="Times New Roman"/>
          <w:b/>
          <w:spacing w:val="20"/>
          <w:sz w:val="26"/>
          <w:szCs w:val="26"/>
          <w:u w:val="single"/>
          <w:lang w:val="es-MX" w:eastAsia="es-ES"/>
        </w:rPr>
      </w:pPr>
    </w:p>
    <w:p w:rsidR="00F5413D" w:rsidRPr="00F5413D" w:rsidRDefault="00F5413D" w:rsidP="00F5413D">
      <w:pPr>
        <w:spacing w:after="0" w:line="360" w:lineRule="auto"/>
        <w:ind w:right="-1"/>
        <w:jc w:val="both"/>
        <w:rPr>
          <w:rFonts w:ascii="Times New Roman" w:eastAsia="Times New Roman" w:hAnsi="Times New Roman" w:cs="Times New Roman"/>
          <w:spacing w:val="20"/>
          <w:sz w:val="26"/>
          <w:szCs w:val="26"/>
          <w:lang w:val="es-MX" w:eastAsia="es-ES"/>
        </w:rPr>
      </w:pPr>
      <w:r w:rsidRPr="00F5413D">
        <w:rPr>
          <w:rFonts w:ascii="Times New Roman" w:eastAsia="Times New Roman" w:hAnsi="Times New Roman" w:cs="Times New Roman"/>
          <w:b/>
          <w:spacing w:val="20"/>
          <w:sz w:val="26"/>
          <w:szCs w:val="26"/>
          <w:u w:val="single"/>
          <w:lang w:val="es-MX" w:eastAsia="es-ES"/>
        </w:rPr>
        <w:t>ARTÍCULO 3º.-</w:t>
      </w:r>
      <w:r w:rsidRPr="00F5413D">
        <w:rPr>
          <w:rFonts w:ascii="Times New Roman" w:eastAsia="Times New Roman" w:hAnsi="Times New Roman" w:cs="Times New Roman"/>
          <w:spacing w:val="20"/>
          <w:sz w:val="26"/>
          <w:szCs w:val="26"/>
          <w:lang w:val="es-MX" w:eastAsia="es-ES"/>
        </w:rPr>
        <w:t xml:space="preserve"> </w:t>
      </w:r>
      <w:proofErr w:type="spellStart"/>
      <w:r w:rsidRPr="00F5413D">
        <w:rPr>
          <w:rFonts w:ascii="Times New Roman" w:eastAsia="Times New Roman" w:hAnsi="Times New Roman" w:cs="Times New Roman"/>
          <w:spacing w:val="20"/>
          <w:sz w:val="26"/>
          <w:szCs w:val="26"/>
          <w:lang w:val="es-MX" w:eastAsia="es-ES"/>
        </w:rPr>
        <w:t>Facúltase</w:t>
      </w:r>
      <w:proofErr w:type="spellEnd"/>
      <w:r w:rsidRPr="00F5413D">
        <w:rPr>
          <w:rFonts w:ascii="Times New Roman" w:eastAsia="Times New Roman" w:hAnsi="Times New Roman" w:cs="Times New Roman"/>
          <w:spacing w:val="20"/>
          <w:sz w:val="26"/>
          <w:szCs w:val="26"/>
          <w:lang w:val="es-MX" w:eastAsia="es-ES"/>
        </w:rPr>
        <w:t xml:space="preserve"> a </w:t>
      </w:r>
      <w:r w:rsidRPr="00F5413D">
        <w:rPr>
          <w:rFonts w:ascii="Times New Roman" w:eastAsia="Times New Roman" w:hAnsi="Times New Roman" w:cs="Times New Roman"/>
          <w:spacing w:val="20"/>
          <w:sz w:val="26"/>
          <w:szCs w:val="26"/>
          <w:lang w:val="es-ES_tradnl" w:eastAsia="es-ES"/>
        </w:rPr>
        <w:t>Escribanía Mayor de Gobierno</w:t>
      </w:r>
      <w:r w:rsidRPr="00F5413D">
        <w:rPr>
          <w:rFonts w:ascii="Times New Roman" w:eastAsia="Times New Roman" w:hAnsi="Times New Roman" w:cs="Times New Roman"/>
          <w:spacing w:val="20"/>
          <w:sz w:val="26"/>
          <w:szCs w:val="26"/>
          <w:lang w:val="es-MX" w:eastAsia="es-ES"/>
        </w:rPr>
        <w:t xml:space="preserve"> a realizar los trámites conducentes para la efectiva transferencia de dominio del inmueble individualizado, a favor del Superior Gobierno de la Provincia de Entre Ríos.-</w:t>
      </w:r>
    </w:p>
    <w:p w:rsidR="00F5413D" w:rsidRPr="00F5413D" w:rsidRDefault="00F5413D" w:rsidP="00F5413D">
      <w:pPr>
        <w:spacing w:after="0" w:line="360" w:lineRule="auto"/>
        <w:ind w:right="-1"/>
        <w:jc w:val="both"/>
        <w:rPr>
          <w:rFonts w:ascii="Times New Roman" w:eastAsia="Times New Roman" w:hAnsi="Times New Roman" w:cs="Times New Roman"/>
          <w:spacing w:val="20"/>
          <w:sz w:val="26"/>
          <w:szCs w:val="26"/>
          <w:lang w:val="es-MX" w:eastAsia="es-ES"/>
        </w:rPr>
      </w:pPr>
    </w:p>
    <w:p w:rsidR="00F5413D" w:rsidRPr="00F5413D" w:rsidRDefault="00F5413D" w:rsidP="00F5413D">
      <w:pPr>
        <w:spacing w:after="0" w:line="360" w:lineRule="auto"/>
        <w:ind w:right="-1"/>
        <w:jc w:val="both"/>
        <w:rPr>
          <w:rFonts w:ascii="Times New Roman" w:eastAsia="Times New Roman" w:hAnsi="Times New Roman" w:cs="Times New Roman"/>
          <w:spacing w:val="20"/>
          <w:sz w:val="26"/>
          <w:szCs w:val="26"/>
          <w:lang w:val="es-MX" w:eastAsia="es-ES"/>
        </w:rPr>
      </w:pPr>
      <w:r w:rsidRPr="00F5413D">
        <w:rPr>
          <w:rFonts w:ascii="Times New Roman" w:eastAsia="Times New Roman" w:hAnsi="Times New Roman" w:cs="Times New Roman"/>
          <w:b/>
          <w:spacing w:val="20"/>
          <w:sz w:val="26"/>
          <w:szCs w:val="26"/>
          <w:u w:val="single"/>
          <w:lang w:val="es-MX" w:eastAsia="es-ES"/>
        </w:rPr>
        <w:t>ARTÍCULO 4°.-</w:t>
      </w:r>
      <w:r w:rsidRPr="00F5413D">
        <w:rPr>
          <w:rFonts w:ascii="Times New Roman" w:eastAsia="Times New Roman" w:hAnsi="Times New Roman" w:cs="Times New Roman"/>
          <w:spacing w:val="20"/>
          <w:sz w:val="26"/>
          <w:szCs w:val="26"/>
          <w:lang w:val="es-MX" w:eastAsia="es-ES"/>
        </w:rPr>
        <w:t xml:space="preserve"> </w:t>
      </w:r>
      <w:proofErr w:type="spellStart"/>
      <w:r w:rsidRPr="00F5413D">
        <w:rPr>
          <w:rFonts w:ascii="Times New Roman" w:eastAsia="Times New Roman" w:hAnsi="Times New Roman" w:cs="Times New Roman"/>
          <w:spacing w:val="20"/>
          <w:sz w:val="26"/>
          <w:szCs w:val="26"/>
          <w:lang w:val="es-MX" w:eastAsia="es-ES"/>
        </w:rPr>
        <w:t>C</w:t>
      </w:r>
      <w:r w:rsidR="005F6EE7">
        <w:rPr>
          <w:rFonts w:ascii="Times New Roman" w:eastAsia="Times New Roman" w:hAnsi="Times New Roman" w:cs="Times New Roman"/>
          <w:spacing w:val="20"/>
          <w:sz w:val="26"/>
          <w:szCs w:val="26"/>
          <w:lang w:val="es-MX" w:eastAsia="es-ES"/>
        </w:rPr>
        <w:t>omuniquese</w:t>
      </w:r>
      <w:proofErr w:type="spellEnd"/>
      <w:r w:rsidRPr="00F5413D">
        <w:rPr>
          <w:rFonts w:ascii="Times New Roman" w:eastAsia="Times New Roman" w:hAnsi="Times New Roman" w:cs="Times New Roman"/>
          <w:spacing w:val="20"/>
          <w:sz w:val="26"/>
          <w:szCs w:val="26"/>
          <w:lang w:val="es-MX" w:eastAsia="es-ES"/>
        </w:rPr>
        <w:t>, etc.-</w:t>
      </w:r>
    </w:p>
    <w:p w:rsidR="00F5413D" w:rsidRDefault="00F5413D" w:rsidP="00F5413D">
      <w:pPr>
        <w:spacing w:after="0" w:line="288" w:lineRule="auto"/>
        <w:ind w:right="-1"/>
        <w:jc w:val="both"/>
        <w:rPr>
          <w:rFonts w:ascii="Century Gothic" w:eastAsia="Times New Roman" w:hAnsi="Century Gothic" w:cs="Times New Roman"/>
          <w:spacing w:val="20"/>
          <w:lang w:val="es-MX" w:eastAsia="es-ES"/>
        </w:rPr>
      </w:pPr>
    </w:p>
    <w:p w:rsidR="00F5413D" w:rsidRDefault="00F5413D" w:rsidP="00F5413D">
      <w:pPr>
        <w:spacing w:after="0" w:line="288" w:lineRule="auto"/>
        <w:ind w:right="-1"/>
        <w:jc w:val="both"/>
        <w:rPr>
          <w:rFonts w:ascii="Century Gothic" w:eastAsia="Times New Roman" w:hAnsi="Century Gothic" w:cs="Times New Roman"/>
          <w:spacing w:val="20"/>
          <w:lang w:val="es-MX" w:eastAsia="es-ES"/>
        </w:rPr>
      </w:pPr>
    </w:p>
    <w:p w:rsidR="00EB176E" w:rsidRDefault="00EB176E" w:rsidP="00F5413D">
      <w:pPr>
        <w:spacing w:after="0" w:line="288" w:lineRule="auto"/>
        <w:ind w:right="-1"/>
        <w:jc w:val="both"/>
        <w:rPr>
          <w:rFonts w:ascii="Century Gothic" w:eastAsia="Times New Roman" w:hAnsi="Century Gothic" w:cs="Times New Roman"/>
          <w:spacing w:val="20"/>
          <w:lang w:val="es-MX" w:eastAsia="es-ES"/>
        </w:rPr>
      </w:pPr>
    </w:p>
    <w:p w:rsidR="00EB176E" w:rsidRDefault="00EB176E" w:rsidP="00F5413D">
      <w:pPr>
        <w:spacing w:after="0" w:line="288" w:lineRule="auto"/>
        <w:ind w:right="-1"/>
        <w:jc w:val="both"/>
        <w:rPr>
          <w:rFonts w:ascii="Century Gothic" w:eastAsia="Times New Roman" w:hAnsi="Century Gothic" w:cs="Times New Roman"/>
          <w:spacing w:val="20"/>
          <w:lang w:val="es-MX" w:eastAsia="es-ES"/>
        </w:rPr>
      </w:pPr>
    </w:p>
    <w:p w:rsidR="00EB176E" w:rsidRDefault="00EB176E" w:rsidP="00F5413D">
      <w:pPr>
        <w:spacing w:after="0" w:line="288" w:lineRule="auto"/>
        <w:ind w:right="-1"/>
        <w:jc w:val="both"/>
        <w:rPr>
          <w:rFonts w:ascii="Century Gothic" w:eastAsia="Times New Roman" w:hAnsi="Century Gothic" w:cs="Times New Roman"/>
          <w:spacing w:val="20"/>
          <w:lang w:val="es-MX" w:eastAsia="es-ES"/>
        </w:rPr>
      </w:pPr>
    </w:p>
    <w:p w:rsidR="00EB176E" w:rsidRDefault="00EB176E" w:rsidP="00F5413D">
      <w:pPr>
        <w:spacing w:after="0" w:line="288" w:lineRule="auto"/>
        <w:ind w:right="-1"/>
        <w:jc w:val="both"/>
        <w:rPr>
          <w:rFonts w:ascii="Century Gothic" w:eastAsia="Times New Roman" w:hAnsi="Century Gothic" w:cs="Times New Roman"/>
          <w:spacing w:val="20"/>
          <w:lang w:val="es-MX" w:eastAsia="es-ES"/>
        </w:rPr>
      </w:pPr>
    </w:p>
    <w:p w:rsidR="00EB176E" w:rsidRDefault="00EB176E" w:rsidP="00F5413D">
      <w:pPr>
        <w:spacing w:after="0" w:line="288" w:lineRule="auto"/>
        <w:ind w:right="-1"/>
        <w:jc w:val="both"/>
        <w:rPr>
          <w:rFonts w:ascii="Century Gothic" w:eastAsia="Times New Roman" w:hAnsi="Century Gothic" w:cs="Times New Roman"/>
          <w:spacing w:val="20"/>
          <w:lang w:val="es-MX" w:eastAsia="es-ES"/>
        </w:rPr>
      </w:pPr>
    </w:p>
    <w:p w:rsidR="0062220B" w:rsidRPr="009347FA" w:rsidRDefault="00F5413D" w:rsidP="00F5413D">
      <w:pPr>
        <w:spacing w:after="0" w:line="288" w:lineRule="auto"/>
        <w:ind w:left="2832" w:right="-1"/>
        <w:jc w:val="both"/>
        <w:rPr>
          <w:rFonts w:ascii="Times New Roman" w:hAnsi="Times New Roman" w:cs="Times New Roman"/>
          <w:sz w:val="26"/>
          <w:szCs w:val="26"/>
        </w:rPr>
      </w:pPr>
      <w:r>
        <w:rPr>
          <w:rFonts w:ascii="Times New Roman" w:eastAsia="Times New Roman" w:hAnsi="Times New Roman" w:cs="Times New Roman"/>
          <w:b/>
          <w:spacing w:val="20"/>
          <w:sz w:val="26"/>
          <w:szCs w:val="26"/>
          <w:lang w:val="es-MX" w:eastAsia="es-ES"/>
        </w:rPr>
        <w:t xml:space="preserve">  </w:t>
      </w:r>
      <w:r w:rsidRPr="00F5413D">
        <w:rPr>
          <w:rFonts w:ascii="Times New Roman" w:eastAsia="Times New Roman" w:hAnsi="Times New Roman" w:cs="Times New Roman"/>
          <w:b/>
          <w:spacing w:val="20"/>
          <w:sz w:val="26"/>
          <w:szCs w:val="26"/>
          <w:lang w:val="es-MX" w:eastAsia="es-ES"/>
        </w:rPr>
        <w:t>PARANA</w:t>
      </w:r>
      <w:r w:rsidR="00A13F17" w:rsidRPr="00F5413D">
        <w:rPr>
          <w:rFonts w:ascii="Times New Roman" w:hAnsi="Times New Roman" w:cs="Times New Roman"/>
          <w:b/>
          <w:sz w:val="26"/>
          <w:szCs w:val="26"/>
        </w:rPr>
        <w:t>,</w:t>
      </w:r>
      <w:r w:rsidR="00A13F17" w:rsidRPr="009347FA">
        <w:rPr>
          <w:rFonts w:ascii="Times New Roman" w:hAnsi="Times New Roman" w:cs="Times New Roman"/>
          <w:sz w:val="26"/>
          <w:szCs w:val="26"/>
        </w:rPr>
        <w:t xml:space="preserve"> Sala de Comisiones </w:t>
      </w:r>
      <w:r w:rsidR="003A0CB6" w:rsidRPr="009347FA">
        <w:rPr>
          <w:rFonts w:ascii="Times New Roman" w:hAnsi="Times New Roman" w:cs="Times New Roman"/>
          <w:sz w:val="26"/>
          <w:szCs w:val="26"/>
        </w:rPr>
        <w:t>02</w:t>
      </w:r>
      <w:r w:rsidR="00A13F17" w:rsidRPr="009347FA">
        <w:rPr>
          <w:rFonts w:ascii="Times New Roman" w:hAnsi="Times New Roman" w:cs="Times New Roman"/>
          <w:sz w:val="26"/>
          <w:szCs w:val="26"/>
        </w:rPr>
        <w:t xml:space="preserve"> de Julio de 2019.</w:t>
      </w:r>
    </w:p>
    <w:p w:rsidR="00A13F17" w:rsidRPr="009347FA" w:rsidRDefault="00A13F17" w:rsidP="00A13F17">
      <w:pPr>
        <w:spacing w:line="360" w:lineRule="auto"/>
        <w:jc w:val="both"/>
        <w:rPr>
          <w:rFonts w:ascii="Times New Roman" w:hAnsi="Times New Roman" w:cs="Times New Roman"/>
          <w:sz w:val="26"/>
          <w:szCs w:val="26"/>
        </w:rPr>
      </w:pPr>
    </w:p>
    <w:p w:rsidR="00A13F17" w:rsidRPr="009347FA" w:rsidRDefault="00A13F17" w:rsidP="00A13F17">
      <w:pPr>
        <w:pStyle w:val="Encabezado"/>
        <w:tabs>
          <w:tab w:val="left" w:pos="708"/>
        </w:tabs>
        <w:spacing w:line="360" w:lineRule="auto"/>
        <w:jc w:val="both"/>
        <w:rPr>
          <w:rFonts w:ascii="Times New Roman" w:hAnsi="Times New Roman"/>
          <w:sz w:val="26"/>
          <w:szCs w:val="26"/>
        </w:rPr>
      </w:pPr>
      <w:r w:rsidRPr="009347FA">
        <w:rPr>
          <w:rFonts w:ascii="Times New Roman" w:hAnsi="Times New Roman"/>
          <w:b/>
          <w:bCs/>
          <w:sz w:val="26"/>
          <w:szCs w:val="26"/>
        </w:rPr>
        <w:t>LARRARTE</w:t>
      </w:r>
      <w:r w:rsidRPr="009347FA">
        <w:rPr>
          <w:rFonts w:ascii="Times New Roman" w:hAnsi="Times New Roman"/>
          <w:sz w:val="26"/>
          <w:szCs w:val="26"/>
        </w:rPr>
        <w:t>, Lucas.</w:t>
      </w:r>
    </w:p>
    <w:p w:rsidR="00F5413D" w:rsidRDefault="00F5413D" w:rsidP="00A13F17">
      <w:pPr>
        <w:pStyle w:val="Encabezado"/>
        <w:tabs>
          <w:tab w:val="left" w:pos="708"/>
        </w:tabs>
        <w:spacing w:line="360" w:lineRule="auto"/>
        <w:jc w:val="both"/>
        <w:rPr>
          <w:rFonts w:ascii="Times New Roman" w:hAnsi="Times New Roman"/>
          <w:b/>
          <w:sz w:val="26"/>
          <w:szCs w:val="26"/>
        </w:rPr>
      </w:pPr>
    </w:p>
    <w:p w:rsidR="00A13F17" w:rsidRPr="009347FA" w:rsidRDefault="00A13F17" w:rsidP="00A13F17">
      <w:pPr>
        <w:pStyle w:val="Encabezado"/>
        <w:tabs>
          <w:tab w:val="left" w:pos="708"/>
        </w:tabs>
        <w:spacing w:line="360" w:lineRule="auto"/>
        <w:jc w:val="both"/>
        <w:rPr>
          <w:rFonts w:ascii="Times New Roman" w:hAnsi="Times New Roman"/>
          <w:sz w:val="26"/>
          <w:szCs w:val="26"/>
        </w:rPr>
      </w:pPr>
      <w:r w:rsidRPr="009347FA">
        <w:rPr>
          <w:rFonts w:ascii="Times New Roman" w:hAnsi="Times New Roman"/>
          <w:b/>
          <w:sz w:val="26"/>
          <w:szCs w:val="26"/>
        </w:rPr>
        <w:t>KISSER</w:t>
      </w:r>
      <w:r w:rsidRPr="009347FA">
        <w:rPr>
          <w:rFonts w:ascii="Times New Roman" w:hAnsi="Times New Roman"/>
          <w:sz w:val="26"/>
          <w:szCs w:val="26"/>
        </w:rPr>
        <w:t>, Raymundo Arturo</w:t>
      </w:r>
    </w:p>
    <w:p w:rsidR="00A13F17" w:rsidRPr="009347FA" w:rsidRDefault="00A13F17" w:rsidP="00A13F17">
      <w:pPr>
        <w:pStyle w:val="Encabezado"/>
        <w:tabs>
          <w:tab w:val="left" w:pos="708"/>
        </w:tabs>
        <w:spacing w:line="360" w:lineRule="auto"/>
        <w:jc w:val="both"/>
        <w:rPr>
          <w:rFonts w:ascii="Times New Roman" w:hAnsi="Times New Roman"/>
          <w:sz w:val="26"/>
          <w:szCs w:val="26"/>
        </w:rPr>
      </w:pPr>
    </w:p>
    <w:p w:rsidR="00A13F17" w:rsidRPr="009347FA" w:rsidRDefault="00A13F17" w:rsidP="00A13F17">
      <w:pPr>
        <w:pStyle w:val="Encabezado"/>
        <w:tabs>
          <w:tab w:val="left" w:pos="708"/>
        </w:tabs>
        <w:spacing w:line="360" w:lineRule="auto"/>
        <w:jc w:val="both"/>
        <w:rPr>
          <w:rFonts w:ascii="Times New Roman" w:hAnsi="Times New Roman"/>
          <w:sz w:val="26"/>
          <w:szCs w:val="26"/>
        </w:rPr>
      </w:pPr>
      <w:r w:rsidRPr="009347FA">
        <w:rPr>
          <w:rFonts w:ascii="Times New Roman" w:hAnsi="Times New Roman"/>
          <w:b/>
          <w:sz w:val="26"/>
          <w:szCs w:val="26"/>
        </w:rPr>
        <w:t>BLANCO</w:t>
      </w:r>
      <w:r w:rsidRPr="009347FA">
        <w:rPr>
          <w:rFonts w:ascii="Times New Roman" w:hAnsi="Times New Roman"/>
          <w:sz w:val="26"/>
          <w:szCs w:val="26"/>
        </w:rPr>
        <w:t>, Héctor Exequiel</w:t>
      </w:r>
    </w:p>
    <w:p w:rsidR="00A13F17" w:rsidRPr="009347FA" w:rsidRDefault="00A13F17" w:rsidP="00A13F17">
      <w:pPr>
        <w:pStyle w:val="Encabezado"/>
        <w:tabs>
          <w:tab w:val="left" w:pos="708"/>
        </w:tabs>
        <w:spacing w:line="360" w:lineRule="auto"/>
        <w:jc w:val="both"/>
        <w:rPr>
          <w:rFonts w:ascii="Times New Roman" w:hAnsi="Times New Roman"/>
          <w:sz w:val="26"/>
          <w:szCs w:val="26"/>
        </w:rPr>
      </w:pPr>
    </w:p>
    <w:p w:rsidR="00A13F17" w:rsidRPr="009347FA" w:rsidRDefault="00A13F17" w:rsidP="00A13F17">
      <w:pPr>
        <w:pStyle w:val="Encabezado"/>
        <w:tabs>
          <w:tab w:val="left" w:pos="708"/>
        </w:tabs>
        <w:spacing w:line="360" w:lineRule="auto"/>
        <w:jc w:val="both"/>
        <w:rPr>
          <w:rFonts w:ascii="Times New Roman" w:hAnsi="Times New Roman"/>
          <w:b/>
          <w:bCs/>
          <w:sz w:val="26"/>
          <w:szCs w:val="26"/>
          <w:lang w:val="en-US"/>
        </w:rPr>
      </w:pPr>
      <w:r w:rsidRPr="009347FA">
        <w:rPr>
          <w:rFonts w:ascii="Times New Roman" w:hAnsi="Times New Roman"/>
          <w:b/>
          <w:sz w:val="26"/>
          <w:szCs w:val="26"/>
          <w:lang w:val="en-US"/>
        </w:rPr>
        <w:t>ESPINOZA</w:t>
      </w:r>
      <w:r w:rsidRPr="009347FA">
        <w:rPr>
          <w:rFonts w:ascii="Times New Roman" w:hAnsi="Times New Roman"/>
          <w:sz w:val="26"/>
          <w:szCs w:val="26"/>
          <w:lang w:val="en-US"/>
        </w:rPr>
        <w:t>, Miriam Liliana</w:t>
      </w:r>
    </w:p>
    <w:p w:rsidR="00A13F17" w:rsidRPr="009347FA" w:rsidRDefault="00A13F17" w:rsidP="00A13F17">
      <w:pPr>
        <w:pStyle w:val="Encabezado"/>
        <w:tabs>
          <w:tab w:val="left" w:pos="708"/>
        </w:tabs>
        <w:spacing w:line="360" w:lineRule="auto"/>
        <w:jc w:val="both"/>
        <w:rPr>
          <w:rFonts w:ascii="Times New Roman" w:hAnsi="Times New Roman"/>
          <w:sz w:val="26"/>
          <w:szCs w:val="26"/>
        </w:rPr>
      </w:pPr>
    </w:p>
    <w:p w:rsidR="00A13F17" w:rsidRPr="009347FA" w:rsidRDefault="00A13F17" w:rsidP="00A13F17">
      <w:pPr>
        <w:pStyle w:val="Encabezado"/>
        <w:tabs>
          <w:tab w:val="left" w:pos="708"/>
        </w:tabs>
        <w:spacing w:line="360" w:lineRule="auto"/>
        <w:jc w:val="both"/>
        <w:rPr>
          <w:rFonts w:ascii="Times New Roman" w:hAnsi="Times New Roman"/>
          <w:sz w:val="26"/>
          <w:szCs w:val="26"/>
        </w:rPr>
      </w:pPr>
      <w:r w:rsidRPr="009347FA">
        <w:rPr>
          <w:rFonts w:ascii="Times New Roman" w:hAnsi="Times New Roman"/>
          <w:b/>
          <w:bCs/>
          <w:sz w:val="26"/>
          <w:szCs w:val="26"/>
        </w:rPr>
        <w:t>GIANO</w:t>
      </w:r>
      <w:r w:rsidRPr="009347FA">
        <w:rPr>
          <w:rFonts w:ascii="Times New Roman" w:hAnsi="Times New Roman"/>
          <w:sz w:val="26"/>
          <w:szCs w:val="26"/>
        </w:rPr>
        <w:t>, Ángel Francisco</w:t>
      </w:r>
    </w:p>
    <w:p w:rsidR="00A13F17" w:rsidRPr="009347FA" w:rsidRDefault="00A13F17" w:rsidP="00A13F17">
      <w:pPr>
        <w:pStyle w:val="Encabezado"/>
        <w:tabs>
          <w:tab w:val="left" w:pos="708"/>
        </w:tabs>
        <w:spacing w:line="360" w:lineRule="auto"/>
        <w:jc w:val="both"/>
        <w:rPr>
          <w:rFonts w:ascii="Times New Roman" w:hAnsi="Times New Roman"/>
          <w:sz w:val="26"/>
          <w:szCs w:val="26"/>
        </w:rPr>
      </w:pPr>
    </w:p>
    <w:p w:rsidR="00A13F17" w:rsidRPr="009347FA" w:rsidRDefault="00A13F17" w:rsidP="00A13F17">
      <w:pPr>
        <w:pStyle w:val="Encabezado"/>
        <w:tabs>
          <w:tab w:val="left" w:pos="708"/>
        </w:tabs>
        <w:spacing w:line="360" w:lineRule="auto"/>
        <w:jc w:val="both"/>
        <w:rPr>
          <w:rFonts w:ascii="Times New Roman" w:hAnsi="Times New Roman"/>
          <w:sz w:val="26"/>
          <w:szCs w:val="26"/>
        </w:rPr>
      </w:pPr>
      <w:r w:rsidRPr="009347FA">
        <w:rPr>
          <w:rFonts w:ascii="Times New Roman" w:hAnsi="Times New Roman"/>
          <w:b/>
          <w:sz w:val="26"/>
          <w:szCs w:val="26"/>
        </w:rPr>
        <w:t>LORA,</w:t>
      </w:r>
      <w:r w:rsidRPr="009347FA">
        <w:rPr>
          <w:rFonts w:ascii="Times New Roman" w:hAnsi="Times New Roman"/>
          <w:sz w:val="26"/>
          <w:szCs w:val="26"/>
        </w:rPr>
        <w:t xml:space="preserve"> Beltrán Alberto</w:t>
      </w:r>
    </w:p>
    <w:p w:rsidR="00A13F17" w:rsidRPr="009347FA" w:rsidRDefault="00A13F17" w:rsidP="00A13F17">
      <w:pPr>
        <w:pStyle w:val="Encabezado"/>
        <w:tabs>
          <w:tab w:val="left" w:pos="708"/>
        </w:tabs>
        <w:spacing w:line="360" w:lineRule="auto"/>
        <w:jc w:val="both"/>
        <w:rPr>
          <w:rFonts w:ascii="Times New Roman" w:hAnsi="Times New Roman"/>
          <w:sz w:val="26"/>
          <w:szCs w:val="26"/>
        </w:rPr>
      </w:pPr>
    </w:p>
    <w:p w:rsidR="00A13F17" w:rsidRPr="009347FA" w:rsidRDefault="00A13F17" w:rsidP="00A13F17">
      <w:pPr>
        <w:pStyle w:val="Encabezado"/>
        <w:tabs>
          <w:tab w:val="left" w:pos="708"/>
        </w:tabs>
        <w:spacing w:line="360" w:lineRule="auto"/>
        <w:jc w:val="both"/>
        <w:rPr>
          <w:rFonts w:ascii="Times New Roman" w:hAnsi="Times New Roman"/>
          <w:sz w:val="26"/>
          <w:szCs w:val="26"/>
          <w:lang w:val="en-US"/>
        </w:rPr>
      </w:pPr>
      <w:r w:rsidRPr="009347FA">
        <w:rPr>
          <w:rFonts w:ascii="Times New Roman" w:hAnsi="Times New Roman"/>
          <w:b/>
          <w:sz w:val="26"/>
          <w:szCs w:val="26"/>
          <w:lang w:val="en-US"/>
        </w:rPr>
        <w:t>MATTIAUDA</w:t>
      </w:r>
      <w:r w:rsidRPr="009347FA">
        <w:rPr>
          <w:rFonts w:ascii="Times New Roman" w:hAnsi="Times New Roman"/>
          <w:sz w:val="26"/>
          <w:szCs w:val="26"/>
          <w:lang w:val="en-US"/>
        </w:rPr>
        <w:t>, Nicolás</w:t>
      </w:r>
    </w:p>
    <w:p w:rsidR="00A13F17" w:rsidRPr="009347FA" w:rsidRDefault="00A13F17" w:rsidP="00A13F17">
      <w:pPr>
        <w:pStyle w:val="Encabezado"/>
        <w:tabs>
          <w:tab w:val="left" w:pos="708"/>
        </w:tabs>
        <w:spacing w:line="360" w:lineRule="auto"/>
        <w:jc w:val="both"/>
        <w:rPr>
          <w:rFonts w:ascii="Times New Roman" w:hAnsi="Times New Roman"/>
          <w:sz w:val="26"/>
          <w:szCs w:val="26"/>
        </w:rPr>
      </w:pPr>
    </w:p>
    <w:p w:rsidR="00A13F17" w:rsidRPr="009347FA" w:rsidRDefault="00A13F17" w:rsidP="00A13F17">
      <w:pPr>
        <w:pStyle w:val="Encabezado"/>
        <w:tabs>
          <w:tab w:val="left" w:pos="708"/>
        </w:tabs>
        <w:spacing w:line="360" w:lineRule="auto"/>
        <w:jc w:val="both"/>
        <w:rPr>
          <w:rFonts w:ascii="Times New Roman" w:hAnsi="Times New Roman"/>
          <w:sz w:val="26"/>
          <w:szCs w:val="26"/>
          <w:lang w:val="es-ES"/>
        </w:rPr>
      </w:pPr>
      <w:r w:rsidRPr="009347FA">
        <w:rPr>
          <w:rFonts w:ascii="Times New Roman" w:hAnsi="Times New Roman"/>
          <w:b/>
          <w:bCs/>
          <w:sz w:val="26"/>
          <w:szCs w:val="26"/>
          <w:lang w:val="es-ES"/>
        </w:rPr>
        <w:t>MIRANDA</w:t>
      </w:r>
      <w:r w:rsidRPr="009347FA">
        <w:rPr>
          <w:rFonts w:ascii="Times New Roman" w:hAnsi="Times New Roman"/>
          <w:sz w:val="26"/>
          <w:szCs w:val="26"/>
          <w:lang w:val="es-ES"/>
        </w:rPr>
        <w:t>, Nancy Susana</w:t>
      </w:r>
    </w:p>
    <w:p w:rsidR="00A13F17" w:rsidRPr="009347FA" w:rsidRDefault="00A13F17" w:rsidP="00A13F17">
      <w:pPr>
        <w:pStyle w:val="Encabezado"/>
        <w:tabs>
          <w:tab w:val="left" w:pos="708"/>
        </w:tabs>
        <w:spacing w:line="360" w:lineRule="auto"/>
        <w:jc w:val="both"/>
        <w:rPr>
          <w:rFonts w:ascii="Times New Roman" w:hAnsi="Times New Roman"/>
          <w:b/>
          <w:bCs/>
          <w:sz w:val="26"/>
          <w:szCs w:val="26"/>
          <w:lang w:val="es-ES"/>
        </w:rPr>
      </w:pPr>
    </w:p>
    <w:p w:rsidR="00A13F17" w:rsidRPr="009347FA" w:rsidRDefault="00A13F17" w:rsidP="00A13F17">
      <w:pPr>
        <w:pStyle w:val="Encabezado"/>
        <w:tabs>
          <w:tab w:val="left" w:pos="708"/>
        </w:tabs>
        <w:spacing w:line="360" w:lineRule="auto"/>
        <w:jc w:val="both"/>
        <w:rPr>
          <w:rFonts w:ascii="Times New Roman" w:hAnsi="Times New Roman"/>
          <w:sz w:val="26"/>
          <w:szCs w:val="26"/>
          <w:lang w:val="en-US"/>
        </w:rPr>
      </w:pPr>
      <w:r w:rsidRPr="009347FA">
        <w:rPr>
          <w:rFonts w:ascii="Times New Roman" w:hAnsi="Times New Roman"/>
          <w:b/>
          <w:bCs/>
          <w:sz w:val="26"/>
          <w:szCs w:val="26"/>
          <w:lang w:val="en-US"/>
        </w:rPr>
        <w:t xml:space="preserve">SCHILD, </w:t>
      </w:r>
      <w:r w:rsidRPr="009347FA">
        <w:rPr>
          <w:rFonts w:ascii="Times New Roman" w:hAnsi="Times New Roman"/>
          <w:sz w:val="26"/>
          <w:szCs w:val="26"/>
          <w:lang w:val="en-US"/>
        </w:rPr>
        <w:t>Rogelio Omar</w:t>
      </w:r>
    </w:p>
    <w:p w:rsidR="00A13F17" w:rsidRPr="009347FA" w:rsidRDefault="00A13F17" w:rsidP="00A13F17">
      <w:pPr>
        <w:pStyle w:val="Encabezado"/>
        <w:tabs>
          <w:tab w:val="left" w:pos="708"/>
        </w:tabs>
        <w:spacing w:line="360" w:lineRule="auto"/>
        <w:jc w:val="both"/>
        <w:rPr>
          <w:rFonts w:ascii="Times New Roman" w:hAnsi="Times New Roman"/>
          <w:sz w:val="26"/>
          <w:szCs w:val="26"/>
          <w:lang w:val="en-US"/>
        </w:rPr>
      </w:pPr>
    </w:p>
    <w:p w:rsidR="00A13F17" w:rsidRPr="009347FA" w:rsidRDefault="00A13F17" w:rsidP="00A13F17">
      <w:pPr>
        <w:spacing w:line="360" w:lineRule="auto"/>
        <w:jc w:val="both"/>
        <w:rPr>
          <w:rFonts w:ascii="Times New Roman" w:hAnsi="Times New Roman" w:cs="Times New Roman"/>
          <w:sz w:val="26"/>
          <w:szCs w:val="26"/>
        </w:rPr>
      </w:pPr>
    </w:p>
    <w:sectPr w:rsidR="00A13F17" w:rsidRPr="009347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tistik">
    <w:altName w:val="Courier New"/>
    <w:charset w:val="00"/>
    <w:family w:val="auto"/>
    <w:pitch w:val="variable"/>
    <w:sig w:usb0="00000083" w:usb1="00000000" w:usb2="00000000" w:usb3="00000000" w:csb0="00000009"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753"/>
    <w:rsid w:val="00241581"/>
    <w:rsid w:val="003A0CB6"/>
    <w:rsid w:val="00431FC6"/>
    <w:rsid w:val="004C11BC"/>
    <w:rsid w:val="004C4EE9"/>
    <w:rsid w:val="005A6171"/>
    <w:rsid w:val="005F6EE7"/>
    <w:rsid w:val="0062220B"/>
    <w:rsid w:val="00644B11"/>
    <w:rsid w:val="007D0B1E"/>
    <w:rsid w:val="007D76C9"/>
    <w:rsid w:val="008E6099"/>
    <w:rsid w:val="009347FA"/>
    <w:rsid w:val="00961F72"/>
    <w:rsid w:val="00A13F17"/>
    <w:rsid w:val="00A63B07"/>
    <w:rsid w:val="00A80BC8"/>
    <w:rsid w:val="00B06FC2"/>
    <w:rsid w:val="00B847F2"/>
    <w:rsid w:val="00D57753"/>
    <w:rsid w:val="00DF7CD0"/>
    <w:rsid w:val="00E63312"/>
    <w:rsid w:val="00EB176E"/>
    <w:rsid w:val="00EF023A"/>
    <w:rsid w:val="00F541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24DEF-44C3-4840-9514-5265E463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7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11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1BC"/>
    <w:rPr>
      <w:rFonts w:ascii="Segoe UI" w:hAnsi="Segoe UI" w:cs="Segoe UI"/>
      <w:sz w:val="18"/>
      <w:szCs w:val="18"/>
    </w:rPr>
  </w:style>
  <w:style w:type="paragraph" w:styleId="Encabezado">
    <w:name w:val="header"/>
    <w:basedOn w:val="Normal"/>
    <w:link w:val="EncabezadoCar"/>
    <w:semiHidden/>
    <w:rsid w:val="00A13F17"/>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semiHidden/>
    <w:rsid w:val="00A13F17"/>
    <w:rPr>
      <w:rFonts w:ascii="Artistik" w:eastAsia="Times New Roman" w:hAnsi="Artistik"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2189</Characters>
  <Application>Microsoft Office Word</Application>
  <DocSecurity>0</DocSecurity>
  <Lines>18</Lines>
  <Paragraphs>5</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ARTÍCULO 1º.- Autorízase al Superior Gobierno de la Provincia de Entre Ríos, a a</vt:lpstr>
      <vt:lpstr/>
      <vt:lpstr/>
      <vt:lpstr/>
      <vt:lpstr/>
      <vt:lpstr/>
      <vt:lpstr>y siete metros cuadrados con setenta y nueve decímetros cuadrados (4.777,79 m2) </vt:lpstr>
      <vt:lpstr>NORTE: recta (1-2) rumbo S77º 43`E de 69,34 metros, lindando con Calle pública;</vt:lpstr>
      <vt:lpstr>ESTE: recta (2-3) rumbo S12º 20^O de 69,46 metros, lindando con Calle San Loren</vt:lpstr>
      <vt:lpstr>SUR: rectas a los rumbos: (3-4) N 77º 40¨O de 59, 76 metros, lindando con Calle</vt:lpstr>
      <vt:lpstr>OESTE: recta (6-1) rumbo N 12º 17`E de 65,78 metros, lindando con prolongación d</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Zapata</dc:creator>
  <cp:keywords/>
  <dc:description/>
  <cp:lastModifiedBy>Romina</cp:lastModifiedBy>
  <cp:revision>2</cp:revision>
  <cp:lastPrinted>2019-07-02T15:29:00Z</cp:lastPrinted>
  <dcterms:created xsi:type="dcterms:W3CDTF">2019-08-06T22:37:00Z</dcterms:created>
  <dcterms:modified xsi:type="dcterms:W3CDTF">2019-08-06T22:37:00Z</dcterms:modified>
</cp:coreProperties>
</file>