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81CD7" w:rsidRPr="002A7B6C" w:rsidRDefault="00A91191" w:rsidP="002A7B6C">
      <w:pPr>
        <w:spacing w:after="240"/>
        <w:contextualSpacing w:val="0"/>
        <w:jc w:val="center"/>
        <w:rPr>
          <w:rFonts w:eastAsia="Garamond"/>
          <w:b/>
          <w:sz w:val="24"/>
          <w:szCs w:val="24"/>
        </w:rPr>
      </w:pPr>
      <w:bookmarkStart w:id="0" w:name="_GoBack"/>
      <w:bookmarkEnd w:id="0"/>
      <w:r w:rsidRPr="002A7B6C">
        <w:rPr>
          <w:rFonts w:eastAsia="Garamond"/>
          <w:b/>
          <w:sz w:val="24"/>
          <w:szCs w:val="24"/>
        </w:rPr>
        <w:t>FUNDAMENTOS</w:t>
      </w:r>
    </w:p>
    <w:p w:rsidR="00381CD7" w:rsidRPr="002A7B6C" w:rsidRDefault="002A7B6C" w:rsidP="002A7B6C">
      <w:pPr>
        <w:spacing w:after="240"/>
        <w:contextualSpacing w:val="0"/>
        <w:jc w:val="both"/>
        <w:rPr>
          <w:rFonts w:eastAsia="Garamond"/>
          <w:sz w:val="24"/>
          <w:szCs w:val="24"/>
        </w:rPr>
      </w:pPr>
      <w:r w:rsidRPr="002A7B6C">
        <w:rPr>
          <w:rFonts w:eastAsia="Garamond"/>
          <w:sz w:val="24"/>
          <w:szCs w:val="24"/>
        </w:rPr>
        <w:t>Señor</w:t>
      </w:r>
      <w:r w:rsidR="00A91191" w:rsidRPr="002A7B6C">
        <w:rPr>
          <w:rFonts w:eastAsia="Garamond"/>
          <w:sz w:val="24"/>
          <w:szCs w:val="24"/>
        </w:rPr>
        <w:t xml:space="preserve"> Presidente:</w:t>
      </w:r>
    </w:p>
    <w:p w:rsidR="00382C51" w:rsidRPr="002A7B6C" w:rsidRDefault="00A91191" w:rsidP="002A7B6C">
      <w:pPr>
        <w:pStyle w:val="Diario"/>
        <w:spacing w:after="240" w:line="276" w:lineRule="auto"/>
        <w:ind w:firstLine="720"/>
        <w:rPr>
          <w:rFonts w:eastAsia="Garamond"/>
          <w:sz w:val="24"/>
        </w:rPr>
      </w:pPr>
      <w:r w:rsidRPr="002A7B6C">
        <w:rPr>
          <w:rFonts w:eastAsia="Garamond"/>
          <w:sz w:val="24"/>
        </w:rPr>
        <w:t>La Ley Nº 10.3</w:t>
      </w:r>
      <w:r w:rsidR="00382C51" w:rsidRPr="002A7B6C">
        <w:rPr>
          <w:rFonts w:eastAsia="Garamond"/>
          <w:sz w:val="24"/>
        </w:rPr>
        <w:t>15</w:t>
      </w:r>
      <w:r w:rsidRPr="002A7B6C">
        <w:rPr>
          <w:rFonts w:eastAsia="Garamond"/>
          <w:sz w:val="24"/>
        </w:rPr>
        <w:t xml:space="preserve"> sancionada por esta Legislatura</w:t>
      </w:r>
      <w:r w:rsidR="00382C51" w:rsidRPr="002A7B6C">
        <w:rPr>
          <w:rFonts w:eastAsia="Garamond"/>
          <w:sz w:val="24"/>
        </w:rPr>
        <w:t xml:space="preserve"> y que fuera</w:t>
      </w:r>
      <w:r w:rsidRPr="002A7B6C">
        <w:rPr>
          <w:rFonts w:eastAsia="Garamond"/>
          <w:sz w:val="24"/>
        </w:rPr>
        <w:t xml:space="preserve"> promulgada el </w:t>
      </w:r>
      <w:r w:rsidR="00382C51" w:rsidRPr="002A7B6C">
        <w:rPr>
          <w:rFonts w:eastAsia="Garamond"/>
          <w:sz w:val="24"/>
        </w:rPr>
        <w:t xml:space="preserve">15 de </w:t>
      </w:r>
      <w:r w:rsidR="002A7B6C" w:rsidRPr="002A7B6C">
        <w:rPr>
          <w:rFonts w:eastAsia="Garamond"/>
          <w:sz w:val="24"/>
        </w:rPr>
        <w:t>A</w:t>
      </w:r>
      <w:r w:rsidR="00382C51" w:rsidRPr="002A7B6C">
        <w:rPr>
          <w:rFonts w:eastAsia="Garamond"/>
          <w:sz w:val="24"/>
        </w:rPr>
        <w:t xml:space="preserve">gosto de 2014, declaró </w:t>
      </w:r>
      <w:r w:rsidRPr="002A7B6C">
        <w:rPr>
          <w:rFonts w:eastAsia="Garamond"/>
          <w:sz w:val="24"/>
        </w:rPr>
        <w:t xml:space="preserve">de utilidad pública y sujetos a expropiación </w:t>
      </w:r>
      <w:r w:rsidR="00382C51" w:rsidRPr="002A7B6C">
        <w:rPr>
          <w:rFonts w:eastAsia="Garamond"/>
          <w:sz w:val="24"/>
        </w:rPr>
        <w:t xml:space="preserve">inmuebles con el propósito de la integración social y las necesidades de la comuna de Nueva Escocia, distrito Yeruá, del departamento Concordia, para la utilización de camping, salón de usos múltiples, cementerio municipal, instalación de la antena de fibra óptica, el club social comunitario, la construcción de viviendas a través de programas del orden nacional, provincial, municipal y IAPV, comedor comunitario, club de pesca municipal, centro de jubilados, sala </w:t>
      </w:r>
      <w:proofErr w:type="spellStart"/>
      <w:r w:rsidR="00382C51" w:rsidRPr="002A7B6C">
        <w:rPr>
          <w:rFonts w:eastAsia="Garamond"/>
          <w:sz w:val="24"/>
        </w:rPr>
        <w:t>velatoria</w:t>
      </w:r>
      <w:proofErr w:type="spellEnd"/>
      <w:r w:rsidR="00382C51" w:rsidRPr="002A7B6C">
        <w:rPr>
          <w:rFonts w:eastAsia="Garamond"/>
          <w:sz w:val="24"/>
        </w:rPr>
        <w:t>, guardería infantil, biblioteca, centro de salud, jardín de infantes municipal, la Delegación de Prefectura Naval Argentina y el edificio municipal.</w:t>
      </w:r>
    </w:p>
    <w:p w:rsidR="00382C51" w:rsidRPr="002A7B6C" w:rsidRDefault="003879C3" w:rsidP="002A7B6C">
      <w:pPr>
        <w:pStyle w:val="Sangradetextonormal"/>
        <w:spacing w:after="240" w:line="276" w:lineRule="auto"/>
        <w:ind w:left="0" w:firstLine="720"/>
        <w:jc w:val="both"/>
        <w:rPr>
          <w:rFonts w:ascii="Arial" w:hAnsi="Arial" w:cs="Arial"/>
        </w:rPr>
      </w:pPr>
      <w:r w:rsidRPr="002A7B6C">
        <w:rPr>
          <w:rFonts w:ascii="Arial" w:eastAsia="Garamond" w:hAnsi="Arial" w:cs="Arial"/>
        </w:rPr>
        <w:t>Luego</w:t>
      </w:r>
      <w:r w:rsidR="00382C51" w:rsidRPr="002A7B6C">
        <w:rPr>
          <w:rFonts w:ascii="Arial" w:eastAsia="Garamond" w:hAnsi="Arial" w:cs="Arial"/>
        </w:rPr>
        <w:t xml:space="preserve">, mediante Ley Nº 10.470, </w:t>
      </w:r>
      <w:r w:rsidRPr="002A7B6C">
        <w:rPr>
          <w:rFonts w:ascii="Arial" w:eastAsia="Garamond" w:hAnsi="Arial" w:cs="Arial"/>
        </w:rPr>
        <w:t xml:space="preserve">promulgada el 29 de Diciembre de 2016, </w:t>
      </w:r>
      <w:r w:rsidRPr="002A7B6C">
        <w:rPr>
          <w:rFonts w:ascii="Arial" w:eastAsia="Garamond" w:hAnsi="Arial" w:cs="Arial"/>
          <w:kern w:val="1"/>
          <w:lang w:eastAsia="zh-CN"/>
        </w:rPr>
        <w:t>y con el propósito de establecer la renovación necesaria de los disposit</w:t>
      </w:r>
      <w:r w:rsidR="0057134D">
        <w:rPr>
          <w:rFonts w:ascii="Arial" w:eastAsia="Garamond" w:hAnsi="Arial" w:cs="Arial"/>
          <w:kern w:val="1"/>
          <w:lang w:eastAsia="zh-CN"/>
        </w:rPr>
        <w:t xml:space="preserve">ivos de la Ley original; </w:t>
      </w:r>
      <w:r w:rsidR="002A7B6C" w:rsidRPr="002A7B6C">
        <w:rPr>
          <w:rFonts w:ascii="Arial" w:eastAsia="Garamond" w:hAnsi="Arial" w:cs="Arial"/>
          <w:kern w:val="1"/>
          <w:lang w:eastAsia="zh-CN"/>
        </w:rPr>
        <w:t>teniendo en cuenta</w:t>
      </w:r>
      <w:r w:rsidRPr="002A7B6C">
        <w:rPr>
          <w:rFonts w:ascii="Arial" w:eastAsia="Garamond" w:hAnsi="Arial" w:cs="Arial"/>
          <w:kern w:val="1"/>
          <w:lang w:eastAsia="zh-CN"/>
        </w:rPr>
        <w:t xml:space="preserve"> que no se habría cumplimentado la expropiación en ella dispuesta y que aún se mantenía vigente el objeto que oportunamente impulsó su sanción, se ratificó la vigencia de la citada declaración de utilidad pública y sujeción a expropiación, en rel</w:t>
      </w:r>
      <w:r w:rsidR="00382C51" w:rsidRPr="002A7B6C">
        <w:rPr>
          <w:rFonts w:ascii="Arial" w:hAnsi="Arial" w:cs="Arial"/>
        </w:rPr>
        <w:t xml:space="preserve">ación a los inmuebles </w:t>
      </w:r>
      <w:r w:rsidRPr="002A7B6C">
        <w:rPr>
          <w:rFonts w:ascii="Arial" w:hAnsi="Arial" w:cs="Arial"/>
        </w:rPr>
        <w:t>identificados</w:t>
      </w:r>
      <w:r w:rsidR="00382C51" w:rsidRPr="002A7B6C">
        <w:rPr>
          <w:rFonts w:ascii="Arial" w:hAnsi="Arial" w:cs="Arial"/>
        </w:rPr>
        <w:t xml:space="preserve"> en </w:t>
      </w:r>
      <w:r w:rsidRPr="002A7B6C">
        <w:rPr>
          <w:rFonts w:ascii="Arial" w:hAnsi="Arial" w:cs="Arial"/>
        </w:rPr>
        <w:t xml:space="preserve">la misma, </w:t>
      </w:r>
      <w:r w:rsidR="00382C51" w:rsidRPr="002A7B6C">
        <w:rPr>
          <w:rFonts w:ascii="Arial" w:hAnsi="Arial" w:cs="Arial"/>
        </w:rPr>
        <w:t xml:space="preserve">como así también la transferencia de la fracción inscripta bajo titularidad del Superior Gobierno de la Provincia individualizado en </w:t>
      </w:r>
      <w:r w:rsidR="002A7B6C" w:rsidRPr="002A7B6C">
        <w:rPr>
          <w:rFonts w:ascii="Arial" w:hAnsi="Arial" w:cs="Arial"/>
        </w:rPr>
        <w:t>el Artículo 2º de la misma Ley.</w:t>
      </w:r>
    </w:p>
    <w:p w:rsidR="003879C3" w:rsidRPr="002A7B6C" w:rsidRDefault="003879C3" w:rsidP="002A7B6C">
      <w:pPr>
        <w:pStyle w:val="Sangradetextonormal"/>
        <w:spacing w:after="240" w:line="276" w:lineRule="auto"/>
        <w:ind w:left="0" w:firstLine="720"/>
        <w:jc w:val="both"/>
        <w:rPr>
          <w:rFonts w:ascii="Arial" w:eastAsia="Garamond" w:hAnsi="Arial" w:cs="Arial"/>
        </w:rPr>
      </w:pPr>
      <w:r w:rsidRPr="002A7B6C">
        <w:rPr>
          <w:rFonts w:ascii="Arial" w:eastAsia="Garamond" w:hAnsi="Arial" w:cs="Arial"/>
        </w:rPr>
        <w:t xml:space="preserve">Previendo la </w:t>
      </w:r>
      <w:r w:rsidR="002A7B6C" w:rsidRPr="002A7B6C">
        <w:rPr>
          <w:rFonts w:ascii="Arial" w:eastAsia="Garamond" w:hAnsi="Arial" w:cs="Arial"/>
        </w:rPr>
        <w:t>inminente</w:t>
      </w:r>
      <w:r w:rsidRPr="002A7B6C">
        <w:rPr>
          <w:rFonts w:ascii="Arial" w:eastAsia="Garamond" w:hAnsi="Arial" w:cs="Arial"/>
        </w:rPr>
        <w:t xml:space="preserve"> caducidad de la declaración de utilidad pública dispuesta por las citadas normas, se impulsa este proyecto de ley con el objeto de ratificar una vez más la vigencia de la declaración de utilidad pública y la sujeción a expropiación de los inmuebles determinados en las mismas, conforme a la norma originaria.  </w:t>
      </w:r>
    </w:p>
    <w:p w:rsidR="003879C3" w:rsidRPr="002A7B6C" w:rsidRDefault="002A7B6C" w:rsidP="002A7B6C">
      <w:pPr>
        <w:pStyle w:val="HTMLconformatoprevio1"/>
        <w:tabs>
          <w:tab w:val="clear" w:pos="2748"/>
          <w:tab w:val="left" w:pos="2268"/>
        </w:tabs>
        <w:spacing w:after="240" w:line="276" w:lineRule="auto"/>
        <w:ind w:right="-2"/>
        <w:jc w:val="both"/>
        <w:rPr>
          <w:rFonts w:ascii="Arial" w:eastAsia="Garamond" w:hAnsi="Arial" w:cs="Arial"/>
          <w:kern w:val="0"/>
          <w:sz w:val="24"/>
          <w:szCs w:val="24"/>
          <w:lang w:eastAsia="es-ES" w:bidi="ar-SA"/>
        </w:rPr>
      </w:pPr>
      <w:r w:rsidRPr="002A7B6C">
        <w:rPr>
          <w:rFonts w:ascii="Arial" w:eastAsia="Garamond" w:hAnsi="Arial" w:cs="Arial"/>
          <w:kern w:val="0"/>
          <w:sz w:val="24"/>
          <w:szCs w:val="24"/>
          <w:lang w:eastAsia="es-ES" w:bidi="ar-SA"/>
        </w:rPr>
        <w:tab/>
      </w:r>
      <w:r w:rsidR="003879C3" w:rsidRPr="002A7B6C">
        <w:rPr>
          <w:rFonts w:ascii="Arial" w:eastAsia="Garamond" w:hAnsi="Arial" w:cs="Arial"/>
          <w:kern w:val="0"/>
          <w:sz w:val="24"/>
          <w:szCs w:val="24"/>
          <w:lang w:eastAsia="es-ES" w:bidi="ar-SA"/>
        </w:rPr>
        <w:t>Por todo lo expuesto, solicito a mis pares la aprobación de este Proyecto de Ley.</w:t>
      </w:r>
    </w:p>
    <w:p w:rsidR="003879C3" w:rsidRPr="002A7B6C" w:rsidRDefault="003879C3" w:rsidP="002A7B6C">
      <w:pPr>
        <w:spacing w:after="240"/>
        <w:rPr>
          <w:rFonts w:eastAsia="Garamond"/>
          <w:sz w:val="24"/>
          <w:szCs w:val="24"/>
          <w:lang w:val="es-ES" w:eastAsia="es-ES"/>
        </w:rPr>
      </w:pPr>
      <w:r w:rsidRPr="002A7B6C">
        <w:rPr>
          <w:rFonts w:eastAsia="Garamond"/>
          <w:sz w:val="24"/>
          <w:szCs w:val="24"/>
          <w:lang w:eastAsia="es-ES"/>
        </w:rPr>
        <w:br w:type="page"/>
      </w:r>
    </w:p>
    <w:p w:rsidR="00381CD7" w:rsidRPr="002A7B6C" w:rsidRDefault="00A91191" w:rsidP="002A7B6C">
      <w:pPr>
        <w:spacing w:after="240"/>
        <w:contextualSpacing w:val="0"/>
        <w:jc w:val="center"/>
        <w:rPr>
          <w:rFonts w:eastAsia="Garamond"/>
          <w:b/>
          <w:sz w:val="24"/>
          <w:szCs w:val="24"/>
        </w:rPr>
      </w:pPr>
      <w:r w:rsidRPr="002A7B6C">
        <w:rPr>
          <w:rFonts w:eastAsia="Garamond"/>
          <w:b/>
          <w:sz w:val="24"/>
          <w:szCs w:val="24"/>
        </w:rPr>
        <w:lastRenderedPageBreak/>
        <w:t>LA LEGISLATURA DE LA PROVINCIA DE ENTRE RÍOS</w:t>
      </w:r>
    </w:p>
    <w:p w:rsidR="00381CD7" w:rsidRPr="002A7B6C" w:rsidRDefault="00A91191" w:rsidP="002A7B6C">
      <w:pPr>
        <w:spacing w:after="240"/>
        <w:contextualSpacing w:val="0"/>
        <w:jc w:val="center"/>
        <w:rPr>
          <w:rFonts w:eastAsia="Garamond"/>
          <w:b/>
          <w:sz w:val="24"/>
          <w:szCs w:val="24"/>
        </w:rPr>
      </w:pPr>
      <w:r w:rsidRPr="002A7B6C">
        <w:rPr>
          <w:rFonts w:eastAsia="Garamond"/>
          <w:b/>
          <w:sz w:val="24"/>
          <w:szCs w:val="24"/>
        </w:rPr>
        <w:t>SANCIONA CON FUERZA DE</w:t>
      </w:r>
    </w:p>
    <w:p w:rsidR="00381CD7" w:rsidRPr="002A7B6C" w:rsidRDefault="00A91191" w:rsidP="002A7B6C">
      <w:pPr>
        <w:spacing w:after="240"/>
        <w:contextualSpacing w:val="0"/>
        <w:jc w:val="center"/>
        <w:rPr>
          <w:rFonts w:eastAsia="Garamond"/>
          <w:b/>
          <w:sz w:val="24"/>
          <w:szCs w:val="24"/>
        </w:rPr>
      </w:pPr>
      <w:r w:rsidRPr="002A7B6C">
        <w:rPr>
          <w:rFonts w:eastAsia="Garamond"/>
          <w:b/>
          <w:sz w:val="24"/>
          <w:szCs w:val="24"/>
        </w:rPr>
        <w:t xml:space="preserve">L E </w:t>
      </w:r>
      <w:proofErr w:type="gramStart"/>
      <w:r w:rsidRPr="002A7B6C">
        <w:rPr>
          <w:rFonts w:eastAsia="Garamond"/>
          <w:b/>
          <w:sz w:val="24"/>
          <w:szCs w:val="24"/>
        </w:rPr>
        <w:t>Y :</w:t>
      </w:r>
      <w:proofErr w:type="gramEnd"/>
    </w:p>
    <w:p w:rsidR="00381CD7" w:rsidRPr="002A7B6C" w:rsidRDefault="00A91191" w:rsidP="002A7B6C">
      <w:pPr>
        <w:spacing w:after="240"/>
        <w:contextualSpacing w:val="0"/>
        <w:jc w:val="both"/>
        <w:rPr>
          <w:rFonts w:eastAsia="Garamond"/>
          <w:sz w:val="24"/>
          <w:szCs w:val="24"/>
        </w:rPr>
      </w:pPr>
      <w:r w:rsidRPr="002A7B6C">
        <w:rPr>
          <w:rFonts w:eastAsia="Garamond"/>
          <w:sz w:val="24"/>
          <w:szCs w:val="24"/>
        </w:rPr>
        <w:t xml:space="preserve"> </w:t>
      </w:r>
    </w:p>
    <w:p w:rsidR="00381CD7" w:rsidRPr="002A7B6C" w:rsidRDefault="002A7B6C" w:rsidP="002A7B6C">
      <w:pPr>
        <w:spacing w:after="240"/>
        <w:contextualSpacing w:val="0"/>
        <w:jc w:val="both"/>
        <w:rPr>
          <w:rFonts w:eastAsia="Garamond"/>
          <w:sz w:val="24"/>
          <w:szCs w:val="24"/>
        </w:rPr>
      </w:pPr>
      <w:r w:rsidRPr="002A7B6C">
        <w:rPr>
          <w:rFonts w:eastAsia="Garamond"/>
          <w:b/>
          <w:sz w:val="24"/>
          <w:szCs w:val="24"/>
          <w:u w:val="single"/>
        </w:rPr>
        <w:t xml:space="preserve">ARTÍCULO </w:t>
      </w:r>
      <w:r w:rsidR="00A91191" w:rsidRPr="002A7B6C">
        <w:rPr>
          <w:rFonts w:eastAsia="Garamond"/>
          <w:b/>
          <w:sz w:val="24"/>
          <w:szCs w:val="24"/>
          <w:u w:val="single"/>
        </w:rPr>
        <w:t>1º</w:t>
      </w:r>
      <w:r w:rsidR="00A91191" w:rsidRPr="002A7B6C">
        <w:rPr>
          <w:rFonts w:eastAsia="Garamond"/>
          <w:b/>
          <w:sz w:val="24"/>
          <w:szCs w:val="24"/>
        </w:rPr>
        <w:t xml:space="preserve">: </w:t>
      </w:r>
      <w:r w:rsidR="00A91191" w:rsidRPr="002A7B6C">
        <w:rPr>
          <w:rFonts w:eastAsia="Garamond"/>
          <w:sz w:val="24"/>
          <w:szCs w:val="24"/>
        </w:rPr>
        <w:t>Ratifíquese la vigencia de la declaración de utilidad pública y sujeción a expropiación dispuesta por la Ley Nº 10.</w:t>
      </w:r>
      <w:r w:rsidRPr="002A7B6C">
        <w:rPr>
          <w:rFonts w:eastAsia="Garamond"/>
          <w:sz w:val="24"/>
          <w:szCs w:val="24"/>
        </w:rPr>
        <w:t>315</w:t>
      </w:r>
      <w:r w:rsidR="00A91191" w:rsidRPr="002A7B6C">
        <w:rPr>
          <w:rFonts w:eastAsia="Garamond"/>
          <w:sz w:val="24"/>
          <w:szCs w:val="24"/>
        </w:rPr>
        <w:t xml:space="preserve"> y ratificación dispuesta por la Ley Nº 10.4</w:t>
      </w:r>
      <w:r w:rsidRPr="002A7B6C">
        <w:rPr>
          <w:rFonts w:eastAsia="Garamond"/>
          <w:sz w:val="24"/>
          <w:szCs w:val="24"/>
        </w:rPr>
        <w:t>70</w:t>
      </w:r>
      <w:r w:rsidR="00A91191" w:rsidRPr="002A7B6C">
        <w:rPr>
          <w:rFonts w:eastAsia="Garamond"/>
          <w:sz w:val="24"/>
          <w:szCs w:val="24"/>
        </w:rPr>
        <w:t>, en relación a los inmuebles individualizados en la primera y manteniendo el destino en ella previsto.</w:t>
      </w:r>
    </w:p>
    <w:p w:rsidR="00381CD7" w:rsidRPr="002A7B6C" w:rsidRDefault="002A7B6C" w:rsidP="002A7B6C">
      <w:pPr>
        <w:spacing w:after="240"/>
        <w:contextualSpacing w:val="0"/>
        <w:jc w:val="both"/>
        <w:rPr>
          <w:rFonts w:eastAsia="Garamond"/>
          <w:sz w:val="24"/>
          <w:szCs w:val="24"/>
        </w:rPr>
      </w:pPr>
      <w:r w:rsidRPr="002A7B6C">
        <w:rPr>
          <w:rFonts w:eastAsia="Garamond"/>
          <w:b/>
          <w:sz w:val="24"/>
          <w:szCs w:val="24"/>
          <w:u w:val="single"/>
        </w:rPr>
        <w:t xml:space="preserve">ARTÍCULO </w:t>
      </w:r>
      <w:r w:rsidR="00A91191" w:rsidRPr="002A7B6C">
        <w:rPr>
          <w:rFonts w:eastAsia="Garamond"/>
          <w:b/>
          <w:sz w:val="24"/>
          <w:szCs w:val="24"/>
          <w:u w:val="single"/>
        </w:rPr>
        <w:t>2°</w:t>
      </w:r>
      <w:r w:rsidR="00A91191" w:rsidRPr="002A7B6C">
        <w:rPr>
          <w:rFonts w:eastAsia="Garamond"/>
          <w:b/>
          <w:sz w:val="24"/>
          <w:szCs w:val="24"/>
        </w:rPr>
        <w:t xml:space="preserve">: </w:t>
      </w:r>
      <w:proofErr w:type="spellStart"/>
      <w:r w:rsidR="00A91191" w:rsidRPr="002A7B6C">
        <w:rPr>
          <w:rFonts w:eastAsia="Garamond"/>
          <w:sz w:val="24"/>
          <w:szCs w:val="24"/>
        </w:rPr>
        <w:t>Facúltase</w:t>
      </w:r>
      <w:proofErr w:type="spellEnd"/>
      <w:r w:rsidR="00A91191" w:rsidRPr="002A7B6C">
        <w:rPr>
          <w:rFonts w:eastAsia="Garamond"/>
          <w:sz w:val="24"/>
          <w:szCs w:val="24"/>
        </w:rPr>
        <w:t xml:space="preserve"> al Poder Ejecutivo para realizar las modificaciones y/o adecuaciones presupuestarias necesarias para atender el gasto que demande lo dispuesto en el artículo anterior.</w:t>
      </w:r>
    </w:p>
    <w:p w:rsidR="002A7B6C" w:rsidRPr="002A7B6C" w:rsidRDefault="002A7B6C" w:rsidP="002A7B6C">
      <w:pPr>
        <w:spacing w:after="240"/>
        <w:contextualSpacing w:val="0"/>
        <w:jc w:val="both"/>
        <w:rPr>
          <w:rFonts w:eastAsia="Garamond"/>
          <w:sz w:val="24"/>
          <w:szCs w:val="24"/>
        </w:rPr>
      </w:pPr>
      <w:r w:rsidRPr="002A7B6C">
        <w:rPr>
          <w:rFonts w:eastAsia="Garamond"/>
          <w:b/>
          <w:sz w:val="24"/>
          <w:szCs w:val="24"/>
          <w:u w:val="single"/>
        </w:rPr>
        <w:t xml:space="preserve">ARTÍCULO </w:t>
      </w:r>
      <w:r w:rsidR="00A91191" w:rsidRPr="002A7B6C">
        <w:rPr>
          <w:rFonts w:eastAsia="Garamond"/>
          <w:b/>
          <w:sz w:val="24"/>
          <w:szCs w:val="24"/>
          <w:u w:val="single"/>
        </w:rPr>
        <w:t>3º</w:t>
      </w:r>
      <w:r w:rsidR="00A91191" w:rsidRPr="002A7B6C">
        <w:rPr>
          <w:rFonts w:eastAsia="Garamond"/>
          <w:b/>
          <w:sz w:val="24"/>
          <w:szCs w:val="24"/>
        </w:rPr>
        <w:t>:</w:t>
      </w:r>
      <w:r w:rsidR="00A91191" w:rsidRPr="002A7B6C">
        <w:rPr>
          <w:rFonts w:eastAsia="Garamond"/>
          <w:sz w:val="24"/>
          <w:szCs w:val="24"/>
        </w:rPr>
        <w:t xml:space="preserve"> </w:t>
      </w:r>
      <w:proofErr w:type="spellStart"/>
      <w:r w:rsidR="00A91191" w:rsidRPr="002A7B6C">
        <w:rPr>
          <w:rFonts w:eastAsia="Garamond"/>
          <w:sz w:val="24"/>
          <w:szCs w:val="24"/>
        </w:rPr>
        <w:t>Autorízase</w:t>
      </w:r>
      <w:proofErr w:type="spellEnd"/>
      <w:r w:rsidR="00A91191" w:rsidRPr="002A7B6C">
        <w:rPr>
          <w:rFonts w:eastAsia="Garamond"/>
          <w:sz w:val="24"/>
          <w:szCs w:val="24"/>
        </w:rPr>
        <w:t xml:space="preserve"> al Poder </w:t>
      </w:r>
      <w:r w:rsidRPr="002A7B6C">
        <w:rPr>
          <w:rFonts w:eastAsia="Garamond"/>
          <w:sz w:val="24"/>
          <w:szCs w:val="24"/>
        </w:rPr>
        <w:t xml:space="preserve">Ejecutivo a disponer la donación de los inmuebles de conformidad a lo previsto en el artículo 5 de </w:t>
      </w:r>
      <w:smartTag w:uri="urn:schemas-microsoft-com:office:smarttags" w:element="PersonName">
        <w:smartTagPr>
          <w:attr w:name="ProductID" w:val="la Ley"/>
        </w:smartTagPr>
        <w:r w:rsidRPr="002A7B6C">
          <w:rPr>
            <w:rFonts w:eastAsia="Garamond"/>
            <w:sz w:val="24"/>
            <w:szCs w:val="24"/>
          </w:rPr>
          <w:t>la Ley</w:t>
        </w:r>
      </w:smartTag>
      <w:r w:rsidRPr="002A7B6C">
        <w:rPr>
          <w:rFonts w:eastAsia="Garamond"/>
          <w:sz w:val="24"/>
          <w:szCs w:val="24"/>
        </w:rPr>
        <w:t xml:space="preserve"> 10.315.</w:t>
      </w:r>
    </w:p>
    <w:p w:rsidR="00381CD7" w:rsidRPr="002A7B6C" w:rsidRDefault="002A7B6C" w:rsidP="002A7B6C">
      <w:pPr>
        <w:spacing w:after="240"/>
        <w:contextualSpacing w:val="0"/>
        <w:jc w:val="both"/>
        <w:rPr>
          <w:rFonts w:eastAsia="Garamond"/>
          <w:sz w:val="24"/>
          <w:szCs w:val="24"/>
        </w:rPr>
      </w:pPr>
      <w:r w:rsidRPr="002A7B6C">
        <w:rPr>
          <w:rFonts w:eastAsia="Garamond"/>
          <w:b/>
          <w:sz w:val="24"/>
          <w:szCs w:val="24"/>
          <w:u w:val="single"/>
        </w:rPr>
        <w:t xml:space="preserve">ARTÍCULO </w:t>
      </w:r>
      <w:r w:rsidR="00A91191" w:rsidRPr="002A7B6C">
        <w:rPr>
          <w:rFonts w:eastAsia="Garamond"/>
          <w:b/>
          <w:sz w:val="24"/>
          <w:szCs w:val="24"/>
          <w:u w:val="single"/>
        </w:rPr>
        <w:t>4º</w:t>
      </w:r>
      <w:r w:rsidR="00A91191" w:rsidRPr="002A7B6C">
        <w:rPr>
          <w:rFonts w:eastAsia="Garamond"/>
          <w:b/>
          <w:sz w:val="24"/>
          <w:szCs w:val="24"/>
        </w:rPr>
        <w:t xml:space="preserve">: </w:t>
      </w:r>
      <w:r w:rsidR="00A91191" w:rsidRPr="002A7B6C">
        <w:rPr>
          <w:rFonts w:eastAsia="Garamond"/>
          <w:sz w:val="24"/>
          <w:szCs w:val="24"/>
        </w:rPr>
        <w:t>De forma.</w:t>
      </w:r>
    </w:p>
    <w:sectPr w:rsidR="00381CD7" w:rsidRPr="002A7B6C" w:rsidSect="00734D08">
      <w:pgSz w:w="11906" w:h="16838"/>
      <w:pgMar w:top="3261" w:right="1133" w:bottom="1133" w:left="2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24E1E"/>
    <w:multiLevelType w:val="hybridMultilevel"/>
    <w:tmpl w:val="B010C13C"/>
    <w:lvl w:ilvl="0" w:tplc="AD50614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D7"/>
    <w:rsid w:val="002A7B6C"/>
    <w:rsid w:val="00300042"/>
    <w:rsid w:val="00381CD7"/>
    <w:rsid w:val="00382C51"/>
    <w:rsid w:val="003879C3"/>
    <w:rsid w:val="0057134D"/>
    <w:rsid w:val="006C664A"/>
    <w:rsid w:val="00734D08"/>
    <w:rsid w:val="00A91191"/>
    <w:rsid w:val="00DC42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4CCF23B-A2B0-4A28-B6D5-0DC5D4A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independiente">
    <w:name w:val="Body Text"/>
    <w:basedOn w:val="Normal"/>
    <w:link w:val="TextoindependienteCar"/>
    <w:semiHidden/>
    <w:unhideWhenUsed/>
    <w:rsid w:val="00382C51"/>
    <w:pPr>
      <w:spacing w:line="240" w:lineRule="auto"/>
      <w:contextualSpacing w:val="0"/>
      <w:jc w:val="both"/>
    </w:pPr>
    <w:rPr>
      <w:rFonts w:eastAsia="Times New Roman"/>
      <w:b/>
      <w:sz w:val="24"/>
      <w:szCs w:val="24"/>
      <w:lang w:val="es-ES" w:eastAsia="es-ES"/>
    </w:rPr>
  </w:style>
  <w:style w:type="character" w:customStyle="1" w:styleId="TextoindependienteCar">
    <w:name w:val="Texto independiente Car"/>
    <w:basedOn w:val="Fuentedeprrafopredeter"/>
    <w:link w:val="Textoindependiente"/>
    <w:semiHidden/>
    <w:rsid w:val="00382C51"/>
    <w:rPr>
      <w:rFonts w:eastAsia="Times New Roman"/>
      <w:b/>
      <w:sz w:val="24"/>
      <w:szCs w:val="24"/>
      <w:lang w:val="es-ES" w:eastAsia="es-ES"/>
    </w:rPr>
  </w:style>
  <w:style w:type="paragraph" w:styleId="Sangradetextonormal">
    <w:name w:val="Body Text Indent"/>
    <w:basedOn w:val="Normal"/>
    <w:link w:val="SangradetextonormalCar"/>
    <w:unhideWhenUsed/>
    <w:rsid w:val="00382C51"/>
    <w:pPr>
      <w:spacing w:after="120" w:line="240" w:lineRule="auto"/>
      <w:ind w:left="283"/>
      <w:contextualSpacing w:val="0"/>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82C51"/>
    <w:rPr>
      <w:rFonts w:ascii="Times New Roman" w:eastAsia="Times New Roman" w:hAnsi="Times New Roman" w:cs="Times New Roman"/>
      <w:sz w:val="24"/>
      <w:szCs w:val="24"/>
      <w:lang w:val="es-ES" w:eastAsia="es-ES"/>
    </w:rPr>
  </w:style>
  <w:style w:type="paragraph" w:customStyle="1" w:styleId="Diario">
    <w:name w:val="Diario"/>
    <w:basedOn w:val="Normal"/>
    <w:rsid w:val="00382C51"/>
    <w:pPr>
      <w:suppressAutoHyphens/>
      <w:spacing w:line="238" w:lineRule="atLeast"/>
      <w:contextualSpacing w:val="0"/>
      <w:jc w:val="both"/>
    </w:pPr>
    <w:rPr>
      <w:rFonts w:eastAsia="Times New Roman"/>
      <w:kern w:val="1"/>
      <w:sz w:val="20"/>
      <w:szCs w:val="24"/>
      <w:lang w:val="es-ES" w:eastAsia="zh-CN"/>
    </w:rPr>
  </w:style>
  <w:style w:type="paragraph" w:styleId="Encabezado">
    <w:name w:val="header"/>
    <w:basedOn w:val="Normal"/>
    <w:link w:val="EncabezadoCar"/>
    <w:rsid w:val="003879C3"/>
    <w:pPr>
      <w:suppressLineNumbers/>
      <w:tabs>
        <w:tab w:val="center" w:pos="4419"/>
        <w:tab w:val="right" w:pos="8838"/>
      </w:tabs>
      <w:suppressAutoHyphens/>
      <w:spacing w:line="240" w:lineRule="auto"/>
      <w:contextualSpacing w:val="0"/>
    </w:pPr>
    <w:rPr>
      <w:rFonts w:ascii="Times New Roman" w:eastAsia="Lucida Sans Unicode" w:hAnsi="Times New Roman" w:cs="Mangal"/>
      <w:kern w:val="1"/>
      <w:sz w:val="24"/>
      <w:szCs w:val="24"/>
      <w:lang w:val="es-ES" w:eastAsia="hi-IN" w:bidi="hi-IN"/>
    </w:rPr>
  </w:style>
  <w:style w:type="character" w:customStyle="1" w:styleId="EncabezadoCar">
    <w:name w:val="Encabezado Car"/>
    <w:basedOn w:val="Fuentedeprrafopredeter"/>
    <w:link w:val="Encabezado"/>
    <w:rsid w:val="003879C3"/>
    <w:rPr>
      <w:rFonts w:ascii="Times New Roman" w:eastAsia="Lucida Sans Unicode" w:hAnsi="Times New Roman" w:cs="Mangal"/>
      <w:kern w:val="1"/>
      <w:sz w:val="24"/>
      <w:szCs w:val="24"/>
      <w:lang w:val="es-ES" w:eastAsia="hi-IN" w:bidi="hi-IN"/>
    </w:rPr>
  </w:style>
  <w:style w:type="paragraph" w:customStyle="1" w:styleId="HTMLconformatoprevio1">
    <w:name w:val="HTML con formato previo1"/>
    <w:basedOn w:val="Normal"/>
    <w:rsid w:val="0038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Lucida Sans Unicode" w:hAnsi="Courier New" w:cs="Courier New"/>
      <w:kern w:val="1"/>
      <w:sz w:val="20"/>
      <w:szCs w:val="20"/>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89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9C62-5C7D-461E-A25F-433107D9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dcterms:created xsi:type="dcterms:W3CDTF">2018-11-27T16:10:00Z</dcterms:created>
  <dcterms:modified xsi:type="dcterms:W3CDTF">2018-11-27T16:10:00Z</dcterms:modified>
</cp:coreProperties>
</file>