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98D3F" w14:textId="77777777"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14:paraId="052C8B73" w14:textId="77777777"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2F2DD7">
        <w:rPr>
          <w:rFonts w:ascii="Times New Roman" w:hAnsi="Times New Roman" w:cs="Times New Roman"/>
          <w:b/>
          <w:bCs/>
          <w:sz w:val="24"/>
          <w:szCs w:val="24"/>
        </w:rPr>
        <w:t>2</w:t>
      </w:r>
      <w:r w:rsidR="00BD1BD8" w:rsidRPr="00C271D4">
        <w:rPr>
          <w:rFonts w:ascii="Times New Roman" w:hAnsi="Times New Roman" w:cs="Times New Roman"/>
          <w:b/>
          <w:bCs/>
          <w:sz w:val="24"/>
          <w:szCs w:val="24"/>
        </w:rPr>
        <w:t>.</w:t>
      </w:r>
      <w:r w:rsidR="002F2DD7">
        <w:rPr>
          <w:rFonts w:ascii="Times New Roman" w:hAnsi="Times New Roman" w:cs="Times New Roman"/>
          <w:b/>
          <w:bCs/>
          <w:sz w:val="24"/>
          <w:szCs w:val="24"/>
        </w:rPr>
        <w:t>748</w:t>
      </w:r>
      <w:r w:rsidRPr="00C271D4">
        <w:rPr>
          <w:rFonts w:ascii="Times New Roman" w:hAnsi="Times New Roman" w:cs="Times New Roman"/>
          <w:sz w:val="24"/>
          <w:szCs w:val="24"/>
        </w:rPr>
        <w:t>, autoría de</w:t>
      </w:r>
      <w:r w:rsidR="00985954">
        <w:rPr>
          <w:rFonts w:ascii="Times New Roman" w:hAnsi="Times New Roman" w:cs="Times New Roman"/>
          <w:sz w:val="24"/>
          <w:szCs w:val="24"/>
        </w:rPr>
        <w:t xml:space="preserve"> </w:t>
      </w:r>
      <w:r w:rsidRPr="00C271D4">
        <w:rPr>
          <w:rFonts w:ascii="Times New Roman" w:hAnsi="Times New Roman" w:cs="Times New Roman"/>
          <w:sz w:val="24"/>
          <w:szCs w:val="24"/>
        </w:rPr>
        <w:t>l</w:t>
      </w:r>
      <w:r w:rsidR="00985954">
        <w:rPr>
          <w:rFonts w:ascii="Times New Roman" w:hAnsi="Times New Roman" w:cs="Times New Roman"/>
          <w:sz w:val="24"/>
          <w:szCs w:val="24"/>
        </w:rPr>
        <w:t>os</w:t>
      </w:r>
      <w:r w:rsidRPr="00C271D4">
        <w:rPr>
          <w:rFonts w:ascii="Times New Roman" w:hAnsi="Times New Roman" w:cs="Times New Roman"/>
          <w:sz w:val="24"/>
          <w:szCs w:val="24"/>
        </w:rPr>
        <w:t xml:space="preserve"> </w:t>
      </w:r>
      <w:r w:rsidR="002F2DD7">
        <w:rPr>
          <w:rFonts w:ascii="Times New Roman" w:hAnsi="Times New Roman" w:cs="Times New Roman"/>
          <w:sz w:val="24"/>
          <w:szCs w:val="24"/>
        </w:rPr>
        <w:t>Diputado</w:t>
      </w:r>
      <w:r w:rsidR="00985954">
        <w:rPr>
          <w:rFonts w:ascii="Times New Roman" w:hAnsi="Times New Roman" w:cs="Times New Roman"/>
          <w:sz w:val="24"/>
          <w:szCs w:val="24"/>
        </w:rPr>
        <w:t>s</w:t>
      </w:r>
      <w:r w:rsidR="002F2DD7">
        <w:rPr>
          <w:rFonts w:ascii="Times New Roman" w:hAnsi="Times New Roman" w:cs="Times New Roman"/>
          <w:sz w:val="24"/>
          <w:szCs w:val="24"/>
        </w:rPr>
        <w:t xml:space="preserve"> Vitor</w:t>
      </w:r>
      <w:r w:rsidR="00985954">
        <w:rPr>
          <w:rFonts w:ascii="Times New Roman" w:hAnsi="Times New Roman" w:cs="Times New Roman"/>
          <w:sz w:val="24"/>
          <w:szCs w:val="24"/>
        </w:rPr>
        <w:t>, Rotman, Acosta, Viola, La Madrid y Anguiano</w:t>
      </w:r>
      <w:r w:rsidRPr="00C271D4">
        <w:rPr>
          <w:rFonts w:ascii="Times New Roman" w:hAnsi="Times New Roman" w:cs="Times New Roman"/>
          <w:sz w:val="24"/>
          <w:szCs w:val="24"/>
        </w:rPr>
        <w:t xml:space="preserve">, por el cual se </w:t>
      </w:r>
      <w:r w:rsidR="002F2DD7">
        <w:rPr>
          <w:rFonts w:ascii="Times New Roman" w:hAnsi="Times New Roman" w:cs="Times New Roman"/>
          <w:sz w:val="24"/>
          <w:szCs w:val="24"/>
        </w:rPr>
        <w:t>modifica la Ley Nº 9353 de Compre Provincial</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2F2DD7">
        <w:rPr>
          <w:rFonts w:ascii="Times New Roman" w:hAnsi="Times New Roman" w:cs="Times New Roman"/>
          <w:sz w:val="24"/>
          <w:szCs w:val="24"/>
        </w:rPr>
        <w:t>03</w:t>
      </w:r>
      <w:r w:rsidRPr="00C271D4">
        <w:rPr>
          <w:rFonts w:ascii="Times New Roman" w:hAnsi="Times New Roman" w:cs="Times New Roman"/>
          <w:sz w:val="24"/>
          <w:szCs w:val="24"/>
        </w:rPr>
        <w:t xml:space="preserve"> de </w:t>
      </w:r>
      <w:r w:rsidR="002F2DD7">
        <w:rPr>
          <w:rFonts w:ascii="Times New Roman" w:hAnsi="Times New Roman" w:cs="Times New Roman"/>
          <w:sz w:val="24"/>
          <w:szCs w:val="24"/>
        </w:rPr>
        <w:t>Junio</w:t>
      </w:r>
      <w:r w:rsidRPr="00C271D4">
        <w:rPr>
          <w:rFonts w:ascii="Times New Roman" w:hAnsi="Times New Roman" w:cs="Times New Roman"/>
          <w:sz w:val="24"/>
          <w:szCs w:val="24"/>
        </w:rPr>
        <w:t xml:space="preserve"> 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Pr="00C271D4">
        <w:rPr>
          <w:rFonts w:ascii="Times New Roman" w:hAnsi="Times New Roman" w:cs="Times New Roman"/>
          <w:sz w:val="24"/>
          <w:szCs w:val="24"/>
        </w:rPr>
        <w:t xml:space="preserve">s </w:t>
      </w:r>
      <w:r w:rsidR="00C611F8" w:rsidRPr="00C271D4">
        <w:rPr>
          <w:rFonts w:ascii="Times New Roman" w:hAnsi="Times New Roman" w:cs="Times New Roman"/>
          <w:sz w:val="24"/>
          <w:szCs w:val="24"/>
        </w:rPr>
        <w:t>Gieco, Miranda y Senadores Amavet, Maradey. Berthet, Dal Molin y Bagnat</w:t>
      </w:r>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2F2DD7">
        <w:rPr>
          <w:rFonts w:ascii="Times New Roman" w:hAnsi="Times New Roman" w:cs="Times New Roman"/>
          <w:sz w:val="24"/>
          <w:szCs w:val="24"/>
        </w:rPr>
        <w:t>con las modificaciones introducidas</w:t>
      </w:r>
      <w:r w:rsidR="00713A6F" w:rsidRPr="00C271D4">
        <w:rPr>
          <w:rFonts w:ascii="Times New Roman" w:hAnsi="Times New Roman" w:cs="Times New Roman"/>
          <w:sz w:val="24"/>
          <w:szCs w:val="24"/>
        </w:rPr>
        <w:t xml:space="preserve">. </w:t>
      </w:r>
    </w:p>
    <w:p w14:paraId="18EE5AED" w14:textId="77777777"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LA LEGISLATURA DE LA PROVINCIA DE ENTRE RIOS</w:t>
      </w:r>
    </w:p>
    <w:p w14:paraId="0B22E6A8" w14:textId="77777777"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SANCIONA CON FUERZA DE</w:t>
      </w:r>
    </w:p>
    <w:p w14:paraId="54F7631E" w14:textId="77777777"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LEY:</w:t>
      </w:r>
    </w:p>
    <w:p w14:paraId="31A2568F" w14:textId="77777777" w:rsidR="005B3210" w:rsidRPr="005B3210" w:rsidRDefault="005B3210" w:rsidP="005B3210">
      <w:pPr>
        <w:contextualSpacing/>
        <w:jc w:val="both"/>
        <w:rPr>
          <w:rFonts w:ascii="Times New Roman" w:hAnsi="Times New Roman" w:cs="Times New Roman"/>
          <w:sz w:val="24"/>
          <w:szCs w:val="24"/>
        </w:rPr>
      </w:pPr>
      <w:r w:rsidRPr="005B3210">
        <w:rPr>
          <w:rFonts w:ascii="Times New Roman" w:hAnsi="Times New Roman" w:cs="Times New Roman"/>
          <w:b/>
          <w:bCs/>
          <w:sz w:val="24"/>
          <w:szCs w:val="24"/>
        </w:rPr>
        <w:t>ARTÍCULO 1º:</w:t>
      </w:r>
      <w:r w:rsidRPr="005B3210">
        <w:rPr>
          <w:rFonts w:ascii="Times New Roman" w:hAnsi="Times New Roman" w:cs="Times New Roman"/>
          <w:sz w:val="24"/>
          <w:szCs w:val="24"/>
        </w:rPr>
        <w:t xml:space="preserve"> </w:t>
      </w:r>
      <w:proofErr w:type="spellStart"/>
      <w:r w:rsidRPr="005B3210">
        <w:rPr>
          <w:rFonts w:ascii="Times New Roman" w:hAnsi="Times New Roman" w:cs="Times New Roman"/>
          <w:sz w:val="24"/>
          <w:szCs w:val="24"/>
        </w:rPr>
        <w:t>Incorpórase</w:t>
      </w:r>
      <w:proofErr w:type="spellEnd"/>
      <w:r w:rsidRPr="005B3210">
        <w:rPr>
          <w:rFonts w:ascii="Times New Roman" w:hAnsi="Times New Roman" w:cs="Times New Roman"/>
          <w:sz w:val="24"/>
          <w:szCs w:val="24"/>
        </w:rPr>
        <w:t xml:space="preserve"> como segundo párrafo</w:t>
      </w:r>
      <w:r w:rsidRPr="005B3210">
        <w:rPr>
          <w:rFonts w:ascii="Times New Roman" w:hAnsi="Times New Roman" w:cs="Times New Roman"/>
          <w:color w:val="FF0000"/>
          <w:sz w:val="24"/>
          <w:szCs w:val="24"/>
        </w:rPr>
        <w:t xml:space="preserve"> </w:t>
      </w:r>
      <w:r w:rsidRPr="005B3210">
        <w:rPr>
          <w:rFonts w:ascii="Times New Roman" w:hAnsi="Times New Roman" w:cs="Times New Roman"/>
          <w:sz w:val="24"/>
          <w:szCs w:val="24"/>
        </w:rPr>
        <w:t xml:space="preserve">del Artículo 1º inciso a) de la Ley Nro. 9353 el siguiente: </w:t>
      </w:r>
      <w:r w:rsidRPr="005B3210">
        <w:rPr>
          <w:rFonts w:ascii="Times New Roman" w:hAnsi="Times New Roman" w:cs="Times New Roman"/>
          <w:i/>
          <w:iCs/>
          <w:sz w:val="24"/>
          <w:szCs w:val="24"/>
        </w:rPr>
        <w:t>“</w:t>
      </w:r>
      <w:proofErr w:type="spellStart"/>
      <w:r w:rsidRPr="005B3210">
        <w:rPr>
          <w:rFonts w:ascii="Times New Roman" w:hAnsi="Times New Roman" w:cs="Times New Roman"/>
          <w:i/>
          <w:iCs/>
          <w:sz w:val="24"/>
          <w:szCs w:val="24"/>
        </w:rPr>
        <w:t>Exceptúase</w:t>
      </w:r>
      <w:proofErr w:type="spellEnd"/>
      <w:r w:rsidRPr="005B3210">
        <w:rPr>
          <w:rFonts w:ascii="Times New Roman" w:hAnsi="Times New Roman" w:cs="Times New Roman"/>
          <w:i/>
          <w:iCs/>
          <w:sz w:val="24"/>
          <w:szCs w:val="24"/>
        </w:rPr>
        <w:t xml:space="preserve"> del requisito de antigüedad fijado, a las empresas que provean en un cien por ciento (100%) productos elaborados en la Provincia de Entre Ríos”</w:t>
      </w:r>
      <w:r w:rsidRPr="005B3210">
        <w:rPr>
          <w:rFonts w:ascii="Times New Roman" w:hAnsi="Times New Roman" w:cs="Times New Roman"/>
          <w:sz w:val="24"/>
          <w:szCs w:val="24"/>
        </w:rPr>
        <w:t>.-</w:t>
      </w:r>
    </w:p>
    <w:p w14:paraId="3BDF6B90" w14:textId="77777777" w:rsidR="005B3210" w:rsidRPr="005B3210" w:rsidRDefault="005B3210" w:rsidP="005B3210">
      <w:pPr>
        <w:contextualSpacing/>
        <w:jc w:val="both"/>
        <w:rPr>
          <w:rFonts w:ascii="Times New Roman" w:hAnsi="Times New Roman" w:cs="Times New Roman"/>
          <w:sz w:val="24"/>
          <w:szCs w:val="24"/>
        </w:rPr>
      </w:pPr>
    </w:p>
    <w:p w14:paraId="052E5553" w14:textId="77777777" w:rsidR="005B3210" w:rsidRPr="005B3210" w:rsidRDefault="005B3210" w:rsidP="005B3210">
      <w:pPr>
        <w:contextualSpacing/>
        <w:jc w:val="both"/>
        <w:rPr>
          <w:rFonts w:ascii="Times New Roman" w:hAnsi="Times New Roman" w:cs="Times New Roman"/>
          <w:i/>
          <w:iCs/>
          <w:sz w:val="24"/>
          <w:szCs w:val="24"/>
        </w:rPr>
      </w:pPr>
      <w:r w:rsidRPr="005B3210">
        <w:rPr>
          <w:rFonts w:ascii="Times New Roman" w:hAnsi="Times New Roman" w:cs="Times New Roman"/>
          <w:b/>
          <w:bCs/>
          <w:sz w:val="24"/>
          <w:szCs w:val="24"/>
        </w:rPr>
        <w:t>ARTÍCULO 2º:</w:t>
      </w:r>
      <w:r w:rsidRPr="005B3210">
        <w:rPr>
          <w:rFonts w:ascii="Times New Roman" w:hAnsi="Times New Roman" w:cs="Times New Roman"/>
          <w:sz w:val="24"/>
          <w:szCs w:val="24"/>
        </w:rPr>
        <w:t xml:space="preserve"> Sustitúyanse los incisos c) y d) del artículo 1º de la Ley Nro. 9353, por los siguientes: </w:t>
      </w:r>
      <w:r w:rsidRPr="005B3210">
        <w:rPr>
          <w:rFonts w:ascii="Times New Roman" w:hAnsi="Times New Roman" w:cs="Times New Roman"/>
          <w:i/>
          <w:iCs/>
          <w:sz w:val="24"/>
          <w:szCs w:val="24"/>
        </w:rPr>
        <w:t>“</w:t>
      </w:r>
      <w:r w:rsidRPr="005B3210">
        <w:rPr>
          <w:rFonts w:ascii="Times New Roman" w:hAnsi="Times New Roman" w:cs="Times New Roman"/>
          <w:i/>
          <w:iCs/>
          <w:sz w:val="24"/>
          <w:szCs w:val="24"/>
          <w:u w:val="single"/>
        </w:rPr>
        <w:t>Artículo 1º</w:t>
      </w:r>
      <w:r w:rsidRPr="005B3210">
        <w:rPr>
          <w:rFonts w:ascii="Times New Roman" w:hAnsi="Times New Roman" w:cs="Times New Roman"/>
          <w:i/>
          <w:iCs/>
          <w:sz w:val="24"/>
          <w:szCs w:val="24"/>
        </w:rPr>
        <w:t>…c) Certificado de libre deuda impositivo emitido por la Administradora Tributaria de Entre Ríos;</w:t>
      </w:r>
    </w:p>
    <w:p w14:paraId="5D8BF4BE" w14:textId="77777777" w:rsidR="005B3210" w:rsidRPr="005B3210" w:rsidRDefault="005B3210" w:rsidP="005B3210">
      <w:pPr>
        <w:contextualSpacing/>
        <w:jc w:val="both"/>
        <w:rPr>
          <w:rFonts w:ascii="Times New Roman" w:hAnsi="Times New Roman" w:cs="Times New Roman"/>
          <w:sz w:val="24"/>
          <w:szCs w:val="24"/>
        </w:rPr>
      </w:pPr>
      <w:r w:rsidRPr="005B3210">
        <w:rPr>
          <w:rFonts w:ascii="Times New Roman" w:hAnsi="Times New Roman" w:cs="Times New Roman"/>
          <w:i/>
          <w:iCs/>
          <w:sz w:val="24"/>
          <w:szCs w:val="24"/>
        </w:rPr>
        <w:t>d) Constancia de inscripción en la AFIP, ATER y la administración municipal correspondiente”</w:t>
      </w:r>
      <w:r w:rsidRPr="005B3210">
        <w:rPr>
          <w:rFonts w:ascii="Times New Roman" w:hAnsi="Times New Roman" w:cs="Times New Roman"/>
          <w:sz w:val="24"/>
          <w:szCs w:val="24"/>
        </w:rPr>
        <w:t xml:space="preserve">.- </w:t>
      </w:r>
    </w:p>
    <w:p w14:paraId="5D390193" w14:textId="77777777" w:rsidR="005B3210" w:rsidRPr="005B3210" w:rsidRDefault="005B3210" w:rsidP="005B3210">
      <w:pPr>
        <w:contextualSpacing/>
        <w:jc w:val="both"/>
        <w:rPr>
          <w:rFonts w:ascii="Times New Roman" w:hAnsi="Times New Roman" w:cs="Times New Roman"/>
          <w:sz w:val="24"/>
          <w:szCs w:val="24"/>
        </w:rPr>
      </w:pPr>
    </w:p>
    <w:p w14:paraId="6EFE5B76" w14:textId="77777777" w:rsidR="005B3210" w:rsidRPr="005B3210" w:rsidRDefault="005B3210" w:rsidP="005B3210">
      <w:pPr>
        <w:contextualSpacing/>
        <w:jc w:val="both"/>
        <w:rPr>
          <w:rFonts w:ascii="Times New Roman" w:hAnsi="Times New Roman" w:cs="Times New Roman"/>
          <w:sz w:val="24"/>
          <w:szCs w:val="24"/>
        </w:rPr>
      </w:pPr>
      <w:r w:rsidRPr="005B3210">
        <w:rPr>
          <w:rFonts w:ascii="Times New Roman" w:hAnsi="Times New Roman" w:cs="Times New Roman"/>
          <w:b/>
          <w:bCs/>
          <w:sz w:val="24"/>
          <w:szCs w:val="24"/>
        </w:rPr>
        <w:t>ARTÍCULO 3º:</w:t>
      </w:r>
      <w:r w:rsidRPr="005B3210">
        <w:rPr>
          <w:rFonts w:ascii="Times New Roman" w:hAnsi="Times New Roman" w:cs="Times New Roman"/>
          <w:sz w:val="24"/>
          <w:szCs w:val="24"/>
        </w:rPr>
        <w:t xml:space="preserve"> </w:t>
      </w:r>
      <w:proofErr w:type="spellStart"/>
      <w:r w:rsidRPr="005B3210">
        <w:rPr>
          <w:rFonts w:ascii="Times New Roman" w:hAnsi="Times New Roman" w:cs="Times New Roman"/>
          <w:sz w:val="24"/>
          <w:szCs w:val="24"/>
        </w:rPr>
        <w:t>Incorpórase</w:t>
      </w:r>
      <w:proofErr w:type="spellEnd"/>
      <w:r w:rsidRPr="005B3210">
        <w:rPr>
          <w:rFonts w:ascii="Times New Roman" w:hAnsi="Times New Roman" w:cs="Times New Roman"/>
          <w:sz w:val="24"/>
          <w:szCs w:val="24"/>
        </w:rPr>
        <w:t xml:space="preserve"> como último párrafo del artículo 1º de la Ley Nro. 9353, el siguiente: </w:t>
      </w:r>
      <w:r w:rsidRPr="005B3210">
        <w:rPr>
          <w:rFonts w:ascii="Times New Roman" w:hAnsi="Times New Roman" w:cs="Times New Roman"/>
          <w:i/>
          <w:iCs/>
          <w:sz w:val="24"/>
          <w:szCs w:val="24"/>
        </w:rPr>
        <w:t>“Artículo 1º: ... Las empresas deberán acompañar con su oferta la documentación que acredite los extremos previstos en los incisos a), b), c), d) de éste Artículo”</w:t>
      </w:r>
      <w:r w:rsidRPr="005B3210">
        <w:rPr>
          <w:rFonts w:ascii="Times New Roman" w:hAnsi="Times New Roman" w:cs="Times New Roman"/>
          <w:sz w:val="24"/>
          <w:szCs w:val="24"/>
        </w:rPr>
        <w:t xml:space="preserve">.- </w:t>
      </w:r>
    </w:p>
    <w:p w14:paraId="2F07AFC2" w14:textId="77777777" w:rsidR="005B3210" w:rsidRPr="005B3210" w:rsidRDefault="005B3210" w:rsidP="005B3210">
      <w:pPr>
        <w:contextualSpacing/>
        <w:jc w:val="both"/>
        <w:rPr>
          <w:rFonts w:ascii="Times New Roman" w:hAnsi="Times New Roman" w:cs="Times New Roman"/>
          <w:sz w:val="24"/>
          <w:szCs w:val="24"/>
        </w:rPr>
      </w:pPr>
    </w:p>
    <w:p w14:paraId="54EE82E9" w14:textId="77777777" w:rsidR="005B3210" w:rsidRPr="005B3210" w:rsidRDefault="005B3210" w:rsidP="005B3210">
      <w:pPr>
        <w:contextualSpacing/>
        <w:jc w:val="both"/>
        <w:rPr>
          <w:rFonts w:ascii="Times New Roman" w:hAnsi="Times New Roman" w:cs="Times New Roman"/>
          <w:i/>
          <w:iCs/>
          <w:sz w:val="24"/>
          <w:szCs w:val="24"/>
        </w:rPr>
      </w:pPr>
      <w:r w:rsidRPr="005B3210">
        <w:rPr>
          <w:rFonts w:ascii="Times New Roman" w:hAnsi="Times New Roman" w:cs="Times New Roman"/>
          <w:b/>
          <w:bCs/>
          <w:sz w:val="24"/>
          <w:szCs w:val="24"/>
        </w:rPr>
        <w:t xml:space="preserve">ARTÍCULO 4º: </w:t>
      </w:r>
      <w:proofErr w:type="spellStart"/>
      <w:r w:rsidRPr="005B3210">
        <w:rPr>
          <w:rFonts w:ascii="Times New Roman" w:hAnsi="Times New Roman" w:cs="Times New Roman"/>
          <w:sz w:val="24"/>
          <w:szCs w:val="24"/>
        </w:rPr>
        <w:t>Modifícase</w:t>
      </w:r>
      <w:proofErr w:type="spellEnd"/>
      <w:r w:rsidRPr="005B3210">
        <w:rPr>
          <w:rFonts w:ascii="Times New Roman" w:hAnsi="Times New Roman" w:cs="Times New Roman"/>
          <w:sz w:val="24"/>
          <w:szCs w:val="24"/>
        </w:rPr>
        <w:t xml:space="preserve"> el Art 6º de la Ley Nro. 9353, que quedará redactado de la siguiente manera: </w:t>
      </w:r>
      <w:r w:rsidRPr="005B3210">
        <w:rPr>
          <w:rFonts w:ascii="Times New Roman" w:hAnsi="Times New Roman" w:cs="Times New Roman"/>
          <w:i/>
          <w:iCs/>
          <w:sz w:val="24"/>
          <w:szCs w:val="24"/>
        </w:rPr>
        <w:t>“</w:t>
      </w:r>
      <w:r w:rsidRPr="005B3210">
        <w:rPr>
          <w:rFonts w:ascii="Times New Roman" w:hAnsi="Times New Roman" w:cs="Times New Roman"/>
          <w:i/>
          <w:iCs/>
          <w:sz w:val="24"/>
          <w:szCs w:val="24"/>
          <w:u w:val="single"/>
        </w:rPr>
        <w:t>Artículo 6º</w:t>
      </w:r>
      <w:r w:rsidRPr="005B3210">
        <w:rPr>
          <w:rFonts w:ascii="Times New Roman" w:hAnsi="Times New Roman" w:cs="Times New Roman"/>
          <w:i/>
          <w:iCs/>
          <w:sz w:val="24"/>
          <w:szCs w:val="24"/>
        </w:rPr>
        <w:t xml:space="preserve">: La contratación de servicios de consultoría se </w:t>
      </w:r>
      <w:r w:rsidRPr="005B3210">
        <w:rPr>
          <w:rFonts w:ascii="Times New Roman" w:hAnsi="Times New Roman" w:cs="Times New Roman"/>
          <w:i/>
          <w:iCs/>
          <w:sz w:val="24"/>
          <w:szCs w:val="24"/>
        </w:rPr>
        <w:lastRenderedPageBreak/>
        <w:t xml:space="preserve">concretará, preferentemente, con profesionales o técnicos matriculados en los respectivos Colegios o Consejos Profesionales de la provincia, según corresponda, siempre que acrediten una residencia real y efectiva en la Provincia de Entre Ríos no menor a tres (3) años anteriores al momento de contratación. </w:t>
      </w:r>
    </w:p>
    <w:p w14:paraId="5D2111E3" w14:textId="77777777" w:rsidR="005B3210" w:rsidRPr="005B3210" w:rsidRDefault="005B3210" w:rsidP="005B3210">
      <w:pPr>
        <w:contextualSpacing/>
        <w:jc w:val="both"/>
        <w:rPr>
          <w:rFonts w:ascii="Times New Roman" w:hAnsi="Times New Roman" w:cs="Times New Roman"/>
          <w:i/>
          <w:iCs/>
          <w:sz w:val="24"/>
          <w:szCs w:val="24"/>
        </w:rPr>
      </w:pPr>
      <w:r w:rsidRPr="005B3210">
        <w:rPr>
          <w:rFonts w:ascii="Times New Roman" w:hAnsi="Times New Roman" w:cs="Times New Roman"/>
          <w:i/>
          <w:iCs/>
          <w:sz w:val="24"/>
          <w:szCs w:val="24"/>
        </w:rPr>
        <w:t xml:space="preserve">En el caso de contratación de consultoras con más de un profesional asociado o integrante de la misma, se dará prioridad a la consultora radicada en la Provincia de Entre Ríos con una antigüedad no menor a tres (3) años en la misma. </w:t>
      </w:r>
    </w:p>
    <w:p w14:paraId="58B82B39" w14:textId="77777777" w:rsidR="005B3210" w:rsidRPr="005B3210" w:rsidRDefault="005B3210" w:rsidP="005B3210">
      <w:pPr>
        <w:contextualSpacing/>
        <w:jc w:val="both"/>
        <w:rPr>
          <w:rFonts w:ascii="Times New Roman" w:hAnsi="Times New Roman" w:cs="Times New Roman"/>
          <w:sz w:val="24"/>
          <w:szCs w:val="24"/>
        </w:rPr>
      </w:pPr>
      <w:r w:rsidRPr="005B3210">
        <w:rPr>
          <w:rFonts w:ascii="Times New Roman" w:hAnsi="Times New Roman" w:cs="Times New Roman"/>
          <w:i/>
          <w:iCs/>
          <w:sz w:val="24"/>
          <w:szCs w:val="24"/>
        </w:rPr>
        <w:t>Cuando la complejidad técnica del servicio de consultoría u otras circunstancias debidamente justificadas lo exijan, se podrá contratar a consultoras nacionales o extranjeras, dando prioridad a la que tenga incorporada una mayor proporción de profesionales y/o técnicos residentes en la Provincia de Entre Ríos”</w:t>
      </w:r>
      <w:r w:rsidRPr="005B3210">
        <w:rPr>
          <w:rFonts w:ascii="Times New Roman" w:hAnsi="Times New Roman" w:cs="Times New Roman"/>
          <w:sz w:val="24"/>
          <w:szCs w:val="24"/>
        </w:rPr>
        <w:t xml:space="preserve">.- </w:t>
      </w:r>
    </w:p>
    <w:p w14:paraId="2C5F09EB" w14:textId="77777777" w:rsidR="005B3210" w:rsidRPr="005B3210" w:rsidRDefault="005B3210" w:rsidP="005B3210">
      <w:pPr>
        <w:contextualSpacing/>
        <w:jc w:val="both"/>
        <w:rPr>
          <w:rFonts w:ascii="Times New Roman" w:hAnsi="Times New Roman" w:cs="Times New Roman"/>
          <w:sz w:val="24"/>
          <w:szCs w:val="24"/>
        </w:rPr>
      </w:pPr>
    </w:p>
    <w:p w14:paraId="550C388A" w14:textId="77777777" w:rsidR="005B3210" w:rsidRPr="005B3210" w:rsidRDefault="005B3210" w:rsidP="005B3210">
      <w:pPr>
        <w:contextualSpacing/>
        <w:jc w:val="both"/>
        <w:rPr>
          <w:rFonts w:ascii="Times New Roman" w:hAnsi="Times New Roman" w:cs="Times New Roman"/>
          <w:sz w:val="24"/>
          <w:szCs w:val="24"/>
        </w:rPr>
      </w:pPr>
      <w:r w:rsidRPr="005B3210">
        <w:rPr>
          <w:rFonts w:ascii="Times New Roman" w:hAnsi="Times New Roman" w:cs="Times New Roman"/>
          <w:b/>
          <w:bCs/>
          <w:sz w:val="24"/>
          <w:szCs w:val="24"/>
        </w:rPr>
        <w:t>ARTÍCULO 5º</w:t>
      </w:r>
      <w:r w:rsidRPr="005B3210">
        <w:rPr>
          <w:rFonts w:ascii="Times New Roman" w:hAnsi="Times New Roman" w:cs="Times New Roman"/>
          <w:sz w:val="24"/>
          <w:szCs w:val="24"/>
        </w:rPr>
        <w:t xml:space="preserve">: </w:t>
      </w:r>
      <w:proofErr w:type="spellStart"/>
      <w:r w:rsidRPr="005B3210">
        <w:rPr>
          <w:rFonts w:ascii="Times New Roman" w:hAnsi="Times New Roman" w:cs="Times New Roman"/>
          <w:sz w:val="24"/>
          <w:szCs w:val="24"/>
        </w:rPr>
        <w:t>Incorpórase</w:t>
      </w:r>
      <w:proofErr w:type="spellEnd"/>
      <w:r w:rsidRPr="005B3210">
        <w:rPr>
          <w:rFonts w:ascii="Times New Roman" w:hAnsi="Times New Roman" w:cs="Times New Roman"/>
          <w:sz w:val="24"/>
          <w:szCs w:val="24"/>
        </w:rPr>
        <w:t xml:space="preserve"> como artículo 10 de la Ley Nº 9353 el siguiente: </w:t>
      </w:r>
      <w:r w:rsidRPr="005B3210">
        <w:rPr>
          <w:rFonts w:ascii="Times New Roman" w:hAnsi="Times New Roman" w:cs="Times New Roman"/>
          <w:i/>
          <w:iCs/>
          <w:sz w:val="24"/>
          <w:szCs w:val="24"/>
        </w:rPr>
        <w:t>“</w:t>
      </w:r>
      <w:r w:rsidRPr="005B3210">
        <w:rPr>
          <w:rFonts w:ascii="Times New Roman" w:hAnsi="Times New Roman" w:cs="Times New Roman"/>
          <w:i/>
          <w:iCs/>
          <w:sz w:val="24"/>
          <w:szCs w:val="24"/>
          <w:u w:val="single"/>
        </w:rPr>
        <w:t>Artículo 10</w:t>
      </w:r>
      <w:r w:rsidRPr="005B3210">
        <w:rPr>
          <w:rFonts w:ascii="Times New Roman" w:hAnsi="Times New Roman" w:cs="Times New Roman"/>
          <w:i/>
          <w:iCs/>
          <w:sz w:val="24"/>
          <w:szCs w:val="24"/>
        </w:rPr>
        <w:t>: En caso de fuerza mayor, emergencias declaradas y otras circunstancias de una entidad tal que así lo ameriten, las empresas entrerrianas podrán solicitar al Poder Ejecutivo se las exima de manera transitoria de algunos de los requisitos exigidos por la presente, mientras permanezca la causal eximente.</w:t>
      </w:r>
      <w:r w:rsidRPr="005B3210">
        <w:rPr>
          <w:rFonts w:ascii="Times New Roman" w:hAnsi="Times New Roman" w:cs="Times New Roman"/>
          <w:sz w:val="24"/>
          <w:szCs w:val="24"/>
        </w:rPr>
        <w:t>”.-</w:t>
      </w:r>
    </w:p>
    <w:p w14:paraId="50E1DA80" w14:textId="77777777" w:rsidR="005B3210" w:rsidRPr="005B3210" w:rsidRDefault="005B3210" w:rsidP="005B3210">
      <w:pPr>
        <w:contextualSpacing/>
        <w:jc w:val="both"/>
        <w:rPr>
          <w:rFonts w:ascii="Times New Roman" w:hAnsi="Times New Roman" w:cs="Times New Roman"/>
          <w:sz w:val="24"/>
          <w:szCs w:val="24"/>
        </w:rPr>
      </w:pPr>
    </w:p>
    <w:p w14:paraId="03884E93" w14:textId="77777777" w:rsidR="005B3210" w:rsidRPr="005B3210" w:rsidRDefault="005B3210" w:rsidP="005B3210">
      <w:pPr>
        <w:contextualSpacing/>
        <w:jc w:val="both"/>
        <w:rPr>
          <w:rFonts w:ascii="Times New Roman" w:hAnsi="Times New Roman" w:cs="Times New Roman"/>
          <w:sz w:val="24"/>
          <w:szCs w:val="24"/>
        </w:rPr>
      </w:pPr>
      <w:r w:rsidRPr="005B3210">
        <w:rPr>
          <w:rFonts w:ascii="Times New Roman" w:hAnsi="Times New Roman" w:cs="Times New Roman"/>
          <w:b/>
          <w:bCs/>
          <w:sz w:val="24"/>
          <w:szCs w:val="24"/>
        </w:rPr>
        <w:t>ARTÍCULO 6º</w:t>
      </w:r>
      <w:r w:rsidRPr="005B3210">
        <w:rPr>
          <w:rFonts w:ascii="Times New Roman" w:hAnsi="Times New Roman" w:cs="Times New Roman"/>
          <w:sz w:val="24"/>
          <w:szCs w:val="24"/>
        </w:rPr>
        <w:t>: De forma.-</w:t>
      </w:r>
    </w:p>
    <w:p w14:paraId="1F3B0A5D" w14:textId="77777777" w:rsidR="005B3210" w:rsidRDefault="005B3210" w:rsidP="005B3210">
      <w:pPr>
        <w:contextualSpacing/>
      </w:pPr>
    </w:p>
    <w:p w14:paraId="370944AA" w14:textId="77777777"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5B3210">
        <w:rPr>
          <w:rFonts w:ascii="Times New Roman" w:eastAsia="Times New Roman" w:hAnsi="Times New Roman" w:cs="Times New Roman"/>
          <w:b/>
          <w:bCs/>
          <w:sz w:val="24"/>
          <w:szCs w:val="24"/>
          <w:lang w:val="es-ES" w:eastAsia="es-ES"/>
        </w:rPr>
        <w:t>03</w:t>
      </w:r>
      <w:r w:rsidRPr="00C271D4">
        <w:rPr>
          <w:rFonts w:ascii="Times New Roman" w:eastAsia="Times New Roman" w:hAnsi="Times New Roman" w:cs="Times New Roman"/>
          <w:b/>
          <w:bCs/>
          <w:sz w:val="24"/>
          <w:szCs w:val="24"/>
          <w:lang w:val="es-ES" w:eastAsia="es-ES"/>
        </w:rPr>
        <w:t xml:space="preserve"> de </w:t>
      </w:r>
      <w:r w:rsidR="005B3210">
        <w:rPr>
          <w:rFonts w:ascii="Times New Roman" w:eastAsia="Times New Roman" w:hAnsi="Times New Roman" w:cs="Times New Roman"/>
          <w:b/>
          <w:bCs/>
          <w:sz w:val="24"/>
          <w:szCs w:val="24"/>
          <w:lang w:val="es-ES" w:eastAsia="es-ES"/>
        </w:rPr>
        <w:t>Junio</w:t>
      </w:r>
      <w:r w:rsidRPr="00C271D4">
        <w:rPr>
          <w:rFonts w:ascii="Times New Roman" w:eastAsia="Times New Roman" w:hAnsi="Times New Roman" w:cs="Times New Roman"/>
          <w:b/>
          <w:bCs/>
          <w:sz w:val="24"/>
          <w:szCs w:val="24"/>
          <w:lang w:val="es-ES" w:eastAsia="es-ES"/>
        </w:rPr>
        <w:t xml:space="preserve"> de 2020.-</w:t>
      </w:r>
    </w:p>
    <w:p w14:paraId="799BEE0B" w14:textId="77777777"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14:paraId="6E08165A"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14:paraId="474E6C5D"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69FF464"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14:paraId="616F7A8A"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0CBCF4A6"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14:paraId="48024917"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1ABAC775"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14:paraId="0A828DA7"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4D80F158"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14:paraId="66B7A737"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E96D88D"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14:paraId="6BFE5E74"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187A820D"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14:paraId="2EDBF495" w14:textId="77777777" w:rsidR="00C271D4" w:rsidRPr="00C271D4" w:rsidRDefault="00C271D4" w:rsidP="00C271D4">
      <w:pPr>
        <w:spacing w:line="360" w:lineRule="auto"/>
        <w:jc w:val="both"/>
        <w:rPr>
          <w:rFonts w:ascii="Times New Roman" w:hAnsi="Times New Roman" w:cs="Times New Roman"/>
          <w:sz w:val="24"/>
          <w:szCs w:val="24"/>
        </w:rPr>
      </w:pPr>
    </w:p>
    <w:p w14:paraId="4742B306" w14:textId="77777777"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5B3210">
        <w:rPr>
          <w:rFonts w:ascii="Times New Roman" w:eastAsia="Times New Roman" w:hAnsi="Times New Roman" w:cs="Times New Roman"/>
          <w:sz w:val="24"/>
          <w:szCs w:val="24"/>
          <w:lang w:eastAsia="es-ES"/>
        </w:rPr>
        <w:t>03</w:t>
      </w:r>
      <w:r w:rsidRPr="00C271D4">
        <w:rPr>
          <w:rFonts w:ascii="Times New Roman" w:eastAsia="Times New Roman" w:hAnsi="Times New Roman" w:cs="Times New Roman"/>
          <w:sz w:val="24"/>
          <w:szCs w:val="24"/>
          <w:lang w:eastAsia="es-ES"/>
        </w:rPr>
        <w:t xml:space="preserve"> de </w:t>
      </w:r>
      <w:r w:rsidR="005B3210">
        <w:rPr>
          <w:rFonts w:ascii="Times New Roman" w:eastAsia="Times New Roman" w:hAnsi="Times New Roman" w:cs="Times New Roman"/>
          <w:sz w:val="24"/>
          <w:szCs w:val="24"/>
          <w:lang w:eastAsia="es-ES"/>
        </w:rPr>
        <w:t>Junio</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C271D4" w:rsidRPr="00C271D4">
        <w:rPr>
          <w:rFonts w:ascii="Times New Roman" w:hAnsi="Times New Roman" w:cs="Times New Roman"/>
          <w:sz w:val="24"/>
          <w:szCs w:val="24"/>
        </w:rPr>
        <w:t xml:space="preserve">Senadoras Gieco, Miranda y Senadores Amavet, Maradey. Berthet, Dal Molin y </w:t>
      </w:r>
      <w:proofErr w:type="gramStart"/>
      <w:r w:rsidR="00C271D4" w:rsidRPr="00C271D4">
        <w:rPr>
          <w:rFonts w:ascii="Times New Roman" w:hAnsi="Times New Roman" w:cs="Times New Roman"/>
          <w:sz w:val="24"/>
          <w:szCs w:val="24"/>
        </w:rPr>
        <w:t>Bagnat.</w:t>
      </w:r>
      <w:r w:rsidRPr="00C271D4">
        <w:rPr>
          <w:rFonts w:ascii="Times New Roman" w:eastAsia="Times New Roman" w:hAnsi="Times New Roman" w:cs="Times New Roman"/>
          <w:sz w:val="24"/>
          <w:szCs w:val="24"/>
          <w:lang w:eastAsia="es-ES"/>
        </w:rPr>
        <w:t>.</w:t>
      </w:r>
      <w:proofErr w:type="gramEnd"/>
      <w:r w:rsidRPr="00C271D4">
        <w:rPr>
          <w:rFonts w:ascii="Times New Roman" w:eastAsia="Times New Roman" w:hAnsi="Times New Roman" w:cs="Times New Roman"/>
          <w:sz w:val="24"/>
          <w:szCs w:val="24"/>
          <w:lang w:eastAsia="es-ES"/>
        </w:rPr>
        <w:t>-</w:t>
      </w:r>
    </w:p>
    <w:p w14:paraId="64DABE2D" w14:textId="77777777"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C271D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0C"/>
    <w:rsid w:val="001573AA"/>
    <w:rsid w:val="002F2DD7"/>
    <w:rsid w:val="0032692E"/>
    <w:rsid w:val="003F0895"/>
    <w:rsid w:val="00593481"/>
    <w:rsid w:val="005B3210"/>
    <w:rsid w:val="005D610C"/>
    <w:rsid w:val="00713A6F"/>
    <w:rsid w:val="00845CC5"/>
    <w:rsid w:val="008C2FFB"/>
    <w:rsid w:val="00985954"/>
    <w:rsid w:val="009F792E"/>
    <w:rsid w:val="00BD1BD8"/>
    <w:rsid w:val="00BF491F"/>
    <w:rsid w:val="00C271D4"/>
    <w:rsid w:val="00C611F8"/>
    <w:rsid w:val="00DE05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B1B3"/>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3310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 Nicola</cp:lastModifiedBy>
  <cp:revision>2</cp:revision>
  <cp:lastPrinted>2020-05-26T14:05:00Z</cp:lastPrinted>
  <dcterms:created xsi:type="dcterms:W3CDTF">2020-06-09T13:34:00Z</dcterms:created>
  <dcterms:modified xsi:type="dcterms:W3CDTF">2020-06-09T13:34:00Z</dcterms:modified>
</cp:coreProperties>
</file>