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F5" w:rsidRDefault="000325F5" w:rsidP="00F03912">
      <w:pPr>
        <w:spacing w:before="75" w:after="45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</w:p>
    <w:p w:rsidR="008170ED" w:rsidRDefault="008170ED" w:rsidP="008170ED">
      <w:pPr>
        <w:spacing w:before="75" w:after="45" w:line="240" w:lineRule="auto"/>
        <w:jc w:val="center"/>
        <w:rPr>
          <w:rFonts w:ascii="Century Gothic" w:eastAsia="Times New Roman" w:hAnsi="Century Gothic" w:cs="Open Sans"/>
          <w:b/>
          <w:lang w:val="es-ES" w:eastAsia="es-ES"/>
        </w:rPr>
      </w:pPr>
    </w:p>
    <w:p w:rsidR="008170ED" w:rsidRPr="008170ED" w:rsidRDefault="00F03912" w:rsidP="008170ED">
      <w:pPr>
        <w:spacing w:before="75" w:after="45" w:line="240" w:lineRule="auto"/>
        <w:jc w:val="center"/>
        <w:rPr>
          <w:rFonts w:ascii="Century Gothic" w:eastAsia="Times New Roman" w:hAnsi="Century Gothic" w:cs="Open Sans"/>
          <w:b/>
          <w:lang w:val="es-ES" w:eastAsia="es-ES"/>
        </w:rPr>
      </w:pPr>
      <w:r w:rsidRPr="008170ED">
        <w:rPr>
          <w:rFonts w:ascii="Century Gothic" w:eastAsia="Times New Roman" w:hAnsi="Century Gothic" w:cs="Open Sans"/>
          <w:b/>
          <w:lang w:val="es-ES" w:eastAsia="es-ES"/>
        </w:rPr>
        <w:t xml:space="preserve">PARANÁ,       </w:t>
      </w:r>
    </w:p>
    <w:p w:rsidR="00F03912" w:rsidRPr="008170ED" w:rsidRDefault="00F03912" w:rsidP="00F03912">
      <w:pPr>
        <w:spacing w:before="75" w:after="45" w:line="240" w:lineRule="auto"/>
        <w:rPr>
          <w:rFonts w:ascii="Century Gothic" w:eastAsia="Times New Roman" w:hAnsi="Century Gothic" w:cs="Open Sans"/>
          <w:lang w:val="es-ES" w:eastAsia="es-ES"/>
        </w:rPr>
      </w:pPr>
    </w:p>
    <w:p w:rsidR="00F03912" w:rsidRPr="008170ED" w:rsidRDefault="00F03912" w:rsidP="00F03912">
      <w:pPr>
        <w:spacing w:before="75" w:after="45" w:line="240" w:lineRule="auto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b/>
          <w:bCs/>
          <w:sz w:val="24"/>
          <w:szCs w:val="24"/>
          <w:lang w:val="es-ES" w:eastAsia="es-ES"/>
        </w:rPr>
        <w:t>A LA</w:t>
      </w:r>
    </w:p>
    <w:p w:rsidR="00F03912" w:rsidRPr="008170ED" w:rsidRDefault="00F03912" w:rsidP="00F03912">
      <w:pPr>
        <w:spacing w:before="75" w:after="45" w:line="240" w:lineRule="auto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b/>
          <w:bCs/>
          <w:sz w:val="24"/>
          <w:szCs w:val="24"/>
          <w:lang w:val="es-ES" w:eastAsia="es-ES"/>
        </w:rPr>
        <w:t>HONORABLE LEGISLATURA</w:t>
      </w:r>
    </w:p>
    <w:p w:rsidR="00F03912" w:rsidRPr="008170ED" w:rsidRDefault="00F03912" w:rsidP="00F03912">
      <w:pPr>
        <w:spacing w:before="75" w:after="45" w:line="240" w:lineRule="auto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b/>
          <w:bCs/>
          <w:sz w:val="24"/>
          <w:szCs w:val="24"/>
          <w:u w:val="single"/>
          <w:lang w:val="es-ES" w:eastAsia="es-ES"/>
        </w:rPr>
        <w:t>S             /               D</w:t>
      </w:r>
    </w:p>
    <w:p w:rsidR="00F03912" w:rsidRPr="008170ED" w:rsidRDefault="00F03912" w:rsidP="00F03912">
      <w:pPr>
        <w:spacing w:before="75" w:after="45" w:line="240" w:lineRule="auto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4E4A51" w:rsidRPr="008170ED" w:rsidRDefault="00F03912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Tengo el agrado de dirigirme a Vuestra Honorabilidad </w:t>
      </w:r>
      <w:r w:rsidR="00A77CB3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a fin de remitir para su 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consideración</w:t>
      </w:r>
      <w:r w:rsidR="00A77CB3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y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tratamiento </w:t>
      </w:r>
      <w:r w:rsidR="00A77CB3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Proyecto de Ley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tendiente a </w:t>
      </w:r>
      <w:r w:rsidR="00C265F3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regularizar la situación laboral de 19 agentes de la planta temporaria del Instituto Autárquico Becario Provincial.</w:t>
      </w:r>
    </w:p>
    <w:p w:rsidR="00C265F3" w:rsidRPr="008170ED" w:rsidRDefault="00C265F3" w:rsidP="0060698C">
      <w:pPr>
        <w:spacing w:after="0"/>
        <w:ind w:firstLine="709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C265F3" w:rsidRPr="008170ED" w:rsidRDefault="00D26F01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Los agentes en cuestión </w:t>
      </w:r>
      <w:r w:rsid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se encuentran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contratados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bajo 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la modalidad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de 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Contrato de Locació</w:t>
      </w:r>
      <w:r w:rsidR="004E3CA6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n de Servicios, con antigüedad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en el organismo que van desde los 10 hasta los 24 años, habiendo desempeñado con aptitud y responsabilidad sus labores.</w:t>
      </w:r>
    </w:p>
    <w:p w:rsidR="00D26F01" w:rsidRPr="008170ED" w:rsidRDefault="00D26F01" w:rsidP="0060698C">
      <w:pPr>
        <w:spacing w:after="0"/>
        <w:ind w:firstLine="709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D26F01" w:rsidRPr="008170ED" w:rsidRDefault="00D26F01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Cabe señalar que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el organismo no cuenta con cargos vacantes que permitan cubrir el nombramiento de estos 19 agentes en la planta permanente</w:t>
      </w:r>
      <w:r w:rsidR="00AB5E9A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, </w:t>
      </w:r>
      <w:proofErr w:type="gramStart"/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y</w:t>
      </w:r>
      <w:proofErr w:type="gramEnd"/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</w:t>
      </w:r>
      <w:r w:rsidR="00AB5E9A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además, siguiendo las pautas definidas en distintos acuerdos paritarios para otros escalafones,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por 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Resolución </w:t>
      </w:r>
      <w:proofErr w:type="spellStart"/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Nº</w:t>
      </w:r>
      <w:proofErr w:type="spellEnd"/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24/15 del Directorio del Instituto, se les ha reconocido la estabilidad en el empleo público.</w:t>
      </w:r>
    </w:p>
    <w:p w:rsidR="00D26F01" w:rsidRPr="008170ED" w:rsidRDefault="00D26F01" w:rsidP="0060698C">
      <w:pPr>
        <w:spacing w:after="0"/>
        <w:ind w:firstLine="709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D26F01" w:rsidRPr="008170ED" w:rsidRDefault="00754BFF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Por lo expuesto, el objetivo perseguido por el presente Proyecto de Ley es regularizar una situación existente, que no implicará mayores costos al Tesoro Provincial, ni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tampoco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una ampliación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de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la planta de personal vigente, ya que se trata de un cambio cualitativo y no cuantitativo, </w:t>
      </w:r>
      <w:r w:rsidR="00E649D1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por el que se</w:t>
      </w: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 xml:space="preserve"> transforman los 19 cupos de contratos de servicios existentes en 19 cargos de planta permanente </w:t>
      </w:r>
      <w:r w:rsidR="006C1035"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en el escalafón legislativo.</w:t>
      </w:r>
    </w:p>
    <w:p w:rsidR="00C265F3" w:rsidRPr="008170ED" w:rsidRDefault="00C265F3" w:rsidP="0060698C">
      <w:pPr>
        <w:spacing w:after="0"/>
        <w:ind w:firstLine="709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0325F5" w:rsidRPr="008170ED" w:rsidRDefault="000325F5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Por todo esto es que solicito tratamiento y sanción del Proyecto de Ley que se presenta.</w:t>
      </w:r>
    </w:p>
    <w:p w:rsidR="000325F5" w:rsidRPr="008170ED" w:rsidRDefault="000325F5" w:rsidP="0060698C">
      <w:pPr>
        <w:spacing w:after="0"/>
        <w:ind w:firstLine="709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</w:p>
    <w:p w:rsidR="000325F5" w:rsidRPr="008170ED" w:rsidRDefault="000325F5" w:rsidP="0060698C">
      <w:pPr>
        <w:spacing w:after="0"/>
        <w:ind w:firstLine="1560"/>
        <w:jc w:val="both"/>
        <w:rPr>
          <w:rFonts w:ascii="Century Gothic" w:eastAsia="Times New Roman" w:hAnsi="Century Gothic" w:cs="Open Sans"/>
          <w:sz w:val="24"/>
          <w:szCs w:val="24"/>
          <w:lang w:val="es-ES"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val="es-ES" w:eastAsia="es-ES"/>
        </w:rPr>
        <w:t>Dios guarde a V.H.</w:t>
      </w:r>
    </w:p>
    <w:p w:rsidR="000325F5" w:rsidRPr="008170ED" w:rsidRDefault="000325F5">
      <w:pPr>
        <w:rPr>
          <w:rFonts w:ascii="Century Gothic" w:hAnsi="Century Gothic" w:cs="Open Sans"/>
          <w:sz w:val="24"/>
          <w:szCs w:val="24"/>
        </w:rPr>
      </w:pPr>
      <w:r w:rsidRPr="008170ED">
        <w:rPr>
          <w:rFonts w:ascii="Century Gothic" w:hAnsi="Century Gothic" w:cs="Open Sans"/>
          <w:sz w:val="24"/>
          <w:szCs w:val="24"/>
        </w:rPr>
        <w:br w:type="page"/>
      </w:r>
    </w:p>
    <w:p w:rsidR="00EA08C8" w:rsidRPr="008170ED" w:rsidRDefault="00EA08C8">
      <w:pPr>
        <w:rPr>
          <w:rFonts w:ascii="Century Gothic" w:hAnsi="Century Gothic" w:cs="Open Sans"/>
        </w:rPr>
      </w:pPr>
    </w:p>
    <w:p w:rsidR="008170ED" w:rsidRDefault="008170ED" w:rsidP="000325F5">
      <w:pPr>
        <w:keepNext/>
        <w:widowControl w:val="0"/>
        <w:spacing w:after="0" w:line="240" w:lineRule="auto"/>
        <w:jc w:val="center"/>
        <w:outlineLvl w:val="7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</w:p>
    <w:p w:rsidR="008170ED" w:rsidRDefault="008170ED" w:rsidP="000325F5">
      <w:pPr>
        <w:keepNext/>
        <w:widowControl w:val="0"/>
        <w:spacing w:after="0" w:line="240" w:lineRule="auto"/>
        <w:jc w:val="center"/>
        <w:outlineLvl w:val="7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</w:p>
    <w:p w:rsidR="008170ED" w:rsidRDefault="008170ED" w:rsidP="000325F5">
      <w:pPr>
        <w:keepNext/>
        <w:widowControl w:val="0"/>
        <w:spacing w:after="0" w:line="240" w:lineRule="auto"/>
        <w:jc w:val="center"/>
        <w:outlineLvl w:val="7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</w:p>
    <w:p w:rsidR="008170ED" w:rsidRDefault="008170ED" w:rsidP="000325F5">
      <w:pPr>
        <w:keepNext/>
        <w:widowControl w:val="0"/>
        <w:spacing w:after="0" w:line="240" w:lineRule="auto"/>
        <w:jc w:val="center"/>
        <w:outlineLvl w:val="7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</w:p>
    <w:p w:rsidR="000325F5" w:rsidRPr="008170ED" w:rsidRDefault="000325F5" w:rsidP="000325F5">
      <w:pPr>
        <w:keepNext/>
        <w:widowControl w:val="0"/>
        <w:spacing w:after="0" w:line="240" w:lineRule="auto"/>
        <w:jc w:val="center"/>
        <w:outlineLvl w:val="7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b/>
          <w:sz w:val="24"/>
          <w:szCs w:val="24"/>
          <w:lang w:eastAsia="es-ES"/>
        </w:rPr>
        <w:t>LA LEGISLATURA DE LA PROVINCIA DE ENTRE RIOS SANCIONA CON FUERZA DE</w:t>
      </w:r>
    </w:p>
    <w:p w:rsidR="000325F5" w:rsidRPr="008170ED" w:rsidRDefault="000325F5" w:rsidP="000325F5">
      <w:pPr>
        <w:widowControl w:val="0"/>
        <w:spacing w:after="0" w:line="240" w:lineRule="auto"/>
        <w:jc w:val="center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</w:p>
    <w:p w:rsidR="000325F5" w:rsidRPr="008170ED" w:rsidRDefault="000325F5" w:rsidP="000325F5">
      <w:pPr>
        <w:widowControl w:val="0"/>
        <w:spacing w:after="0" w:line="240" w:lineRule="auto"/>
        <w:jc w:val="center"/>
        <w:rPr>
          <w:rFonts w:ascii="Century Gothic" w:eastAsia="Times New Roman" w:hAnsi="Century Gothic" w:cs="Open Sans"/>
          <w:b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b/>
          <w:sz w:val="24"/>
          <w:szCs w:val="24"/>
          <w:lang w:eastAsia="es-ES"/>
        </w:rPr>
        <w:t>LEY:</w:t>
      </w:r>
    </w:p>
    <w:p w:rsidR="000325F5" w:rsidRPr="008170ED" w:rsidRDefault="000325F5" w:rsidP="000325F5">
      <w:pPr>
        <w:widowControl w:val="0"/>
        <w:tabs>
          <w:tab w:val="left" w:pos="9072"/>
          <w:tab w:val="left" w:pos="9498"/>
        </w:tabs>
        <w:spacing w:after="0" w:line="240" w:lineRule="auto"/>
        <w:ind w:right="-851"/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</w:pPr>
      <w:r w:rsidRPr="008170ED">
        <w:rPr>
          <w:rFonts w:ascii="Century Gothic" w:eastAsia="Times New Roman" w:hAnsi="Century Gothic" w:cs="Open Sans"/>
          <w:b/>
          <w:sz w:val="24"/>
          <w:szCs w:val="24"/>
          <w:lang w:eastAsia="es-ES"/>
        </w:rPr>
        <w:t xml:space="preserve">                                                         </w:t>
      </w:r>
      <w:r w:rsidRPr="008170ED">
        <w:rPr>
          <w:rFonts w:ascii="Century Gothic" w:eastAsia="Times New Roman" w:hAnsi="Century Gothic" w:cs="Open Sans"/>
          <w:b/>
          <w:sz w:val="24"/>
          <w:szCs w:val="24"/>
          <w:lang w:eastAsia="es-ES"/>
        </w:rPr>
        <w:tab/>
      </w:r>
    </w:p>
    <w:p w:rsidR="00A77CB3" w:rsidRDefault="00370740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A</w:t>
      </w:r>
      <w:r w:rsid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RTICULO</w:t>
      </w:r>
      <w:r w:rsidRP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 xml:space="preserve"> 1º.-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</w:t>
      </w:r>
      <w:proofErr w:type="spellStart"/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Dispónese</w:t>
      </w:r>
      <w:proofErr w:type="spellEnd"/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la supresión de diecinueve (19) Cupos de Personal Temporario del Instituto Autárquico Becario Provincial</w:t>
      </w:r>
      <w:r w:rsidR="00A77CB3">
        <w:rPr>
          <w:rFonts w:ascii="Century Gothic" w:eastAsia="Times New Roman" w:hAnsi="Century Gothic" w:cs="Open Sans"/>
          <w:sz w:val="24"/>
          <w:szCs w:val="24"/>
          <w:lang w:eastAsia="es-ES"/>
        </w:rPr>
        <w:t>.</w:t>
      </w:r>
    </w:p>
    <w:p w:rsidR="00370740" w:rsidRPr="004E3CA6" w:rsidRDefault="00A77CB3" w:rsidP="00370740">
      <w:pPr>
        <w:jc w:val="both"/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</w:pPr>
      <w:r w:rsidRP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A</w:t>
      </w:r>
      <w:r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RTICULO</w:t>
      </w:r>
      <w:r w:rsidRP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2</w:t>
      </w:r>
      <w:r w:rsidRPr="004E3CA6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º.-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</w:t>
      </w:r>
      <w:proofErr w:type="spellStart"/>
      <w:r>
        <w:rPr>
          <w:rFonts w:ascii="Century Gothic" w:eastAsia="Times New Roman" w:hAnsi="Century Gothic" w:cs="Open Sans"/>
          <w:sz w:val="24"/>
          <w:szCs w:val="24"/>
          <w:lang w:eastAsia="es-ES"/>
        </w:rPr>
        <w:t>Dispónese</w:t>
      </w:r>
      <w:proofErr w:type="spellEnd"/>
      <w:r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la creación</w:t>
      </w:r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de diecinueve (19) cargos de Planta Permanente del Escalafón Legislativo, destinados a regularizar la situación de revista de los agentes que prestan servicio bajo la modalidad de Locación de Servicios en dicho Organismo, </w:t>
      </w:r>
      <w:proofErr w:type="gramStart"/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de acuerdo al</w:t>
      </w:r>
      <w:proofErr w:type="gramEnd"/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siguiente detalle:</w:t>
      </w:r>
    </w:p>
    <w:p w:rsidR="00370740" w:rsidRPr="008170ED" w:rsidRDefault="00370740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•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ab/>
        <w:t>11 Cargos de Oficial de Primera</w:t>
      </w:r>
    </w:p>
    <w:p w:rsidR="00370740" w:rsidRPr="008170ED" w:rsidRDefault="00370740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•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ab/>
        <w:t>4 Cargos de Oficial Parlamentario</w:t>
      </w:r>
    </w:p>
    <w:p w:rsidR="00370740" w:rsidRPr="008170ED" w:rsidRDefault="00370740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•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ab/>
        <w:t>1 Cargo de Oficial Superior</w:t>
      </w:r>
    </w:p>
    <w:p w:rsidR="00370740" w:rsidRPr="008170ED" w:rsidRDefault="00370740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•</w:t>
      </w:r>
      <w:r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ab/>
        <w:t>3 Cargos de Jefe</w:t>
      </w:r>
    </w:p>
    <w:p w:rsidR="00370740" w:rsidRPr="008170ED" w:rsidRDefault="00DD2B64" w:rsidP="00370740">
      <w:pPr>
        <w:jc w:val="both"/>
        <w:rPr>
          <w:rFonts w:ascii="Century Gothic" w:eastAsia="Times New Roman" w:hAnsi="Century Gothic" w:cs="Open Sans"/>
          <w:sz w:val="24"/>
          <w:szCs w:val="24"/>
          <w:lang w:eastAsia="es-ES"/>
        </w:rPr>
      </w:pPr>
      <w:r w:rsidRPr="00DD2B64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 xml:space="preserve">ARTICULO </w:t>
      </w:r>
      <w:r w:rsidR="002730C2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3</w:t>
      </w:r>
      <w:r w:rsidR="00370740" w:rsidRPr="00DD2B64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º.-</w:t>
      </w:r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</w:t>
      </w:r>
      <w:proofErr w:type="spellStart"/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Fac</w:t>
      </w:r>
      <w:r w:rsidR="00D87FC0">
        <w:rPr>
          <w:rFonts w:ascii="Century Gothic" w:eastAsia="Times New Roman" w:hAnsi="Century Gothic" w:cs="Open Sans"/>
          <w:sz w:val="24"/>
          <w:szCs w:val="24"/>
          <w:lang w:eastAsia="es-ES"/>
        </w:rPr>
        <w:t>ú</w:t>
      </w:r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>ltase</w:t>
      </w:r>
      <w:proofErr w:type="spellEnd"/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al Poder Ejecutivo Provincial a modificar el Presupuesto General de la Administración Provincial a efectos de hacer efectivo lo dispuesto en el artículo anterior.</w:t>
      </w:r>
    </w:p>
    <w:p w:rsidR="008C30C3" w:rsidRPr="008170ED" w:rsidRDefault="00264BC2" w:rsidP="00370740">
      <w:pPr>
        <w:jc w:val="both"/>
        <w:rPr>
          <w:rFonts w:ascii="Century Gothic" w:hAnsi="Century Gothic" w:cs="Open Sans"/>
          <w:sz w:val="24"/>
          <w:szCs w:val="24"/>
        </w:rPr>
      </w:pPr>
      <w:r w:rsidRPr="00264BC2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ARTICULO</w:t>
      </w:r>
      <w:r w:rsidR="002730C2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 xml:space="preserve"> 4</w:t>
      </w:r>
      <w:r w:rsidR="00370740" w:rsidRPr="00264BC2">
        <w:rPr>
          <w:rFonts w:ascii="Century Gothic" w:eastAsia="Times New Roman" w:hAnsi="Century Gothic" w:cs="Open Sans"/>
          <w:b/>
          <w:sz w:val="24"/>
          <w:szCs w:val="24"/>
          <w:u w:val="single"/>
          <w:lang w:eastAsia="es-ES"/>
        </w:rPr>
        <w:t>º.-</w:t>
      </w:r>
      <w:r w:rsidR="00370740" w:rsidRPr="008170ED">
        <w:rPr>
          <w:rFonts w:ascii="Century Gothic" w:eastAsia="Times New Roman" w:hAnsi="Century Gothic" w:cs="Open Sans"/>
          <w:sz w:val="24"/>
          <w:szCs w:val="24"/>
          <w:lang w:eastAsia="es-ES"/>
        </w:rPr>
        <w:t xml:space="preserve"> Comuníquese, etc.</w:t>
      </w:r>
    </w:p>
    <w:sectPr w:rsidR="008C30C3" w:rsidRPr="008170ED" w:rsidSect="00F40F04">
      <w:headerReference w:type="default" r:id="rId6"/>
      <w:pgSz w:w="11907" w:h="16839" w:code="9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486" w:rsidRDefault="005F5486" w:rsidP="008170ED">
      <w:pPr>
        <w:spacing w:after="0" w:line="240" w:lineRule="auto"/>
      </w:pPr>
      <w:r>
        <w:separator/>
      </w:r>
    </w:p>
  </w:endnote>
  <w:endnote w:type="continuationSeparator" w:id="0">
    <w:p w:rsidR="005F5486" w:rsidRDefault="005F5486" w:rsidP="0081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486" w:rsidRDefault="005F5486" w:rsidP="008170ED">
      <w:pPr>
        <w:spacing w:after="0" w:line="240" w:lineRule="auto"/>
      </w:pPr>
      <w:r>
        <w:separator/>
      </w:r>
    </w:p>
  </w:footnote>
  <w:footnote w:type="continuationSeparator" w:id="0">
    <w:p w:rsidR="005F5486" w:rsidRDefault="005F5486" w:rsidP="0081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0ED" w:rsidRPr="00F40F04" w:rsidRDefault="008170ED" w:rsidP="008170ED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ab/>
      <w:t xml:space="preserve">                                         </w:t>
    </w:r>
    <w:r w:rsidRPr="00AD2E3E">
      <w:rPr>
        <w:rFonts w:ascii="Century Gothic" w:hAnsi="Century Gothic"/>
      </w:rPr>
      <w:t>“2018 – Año del Centenario de la Reforma Universitaria”</w:t>
    </w:r>
  </w:p>
  <w:p w:rsidR="008170ED" w:rsidRDefault="008170ED">
    <w:pPr>
      <w:pStyle w:val="Encabezado"/>
    </w:pPr>
  </w:p>
  <w:p w:rsidR="008170ED" w:rsidRDefault="008170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12"/>
    <w:rsid w:val="000325F5"/>
    <w:rsid w:val="00264BC2"/>
    <w:rsid w:val="002730C2"/>
    <w:rsid w:val="003147CB"/>
    <w:rsid w:val="00333CE5"/>
    <w:rsid w:val="00370740"/>
    <w:rsid w:val="004A0594"/>
    <w:rsid w:val="004E3CA6"/>
    <w:rsid w:val="004E4A51"/>
    <w:rsid w:val="004F622E"/>
    <w:rsid w:val="005F5486"/>
    <w:rsid w:val="0060698C"/>
    <w:rsid w:val="00680083"/>
    <w:rsid w:val="006C1035"/>
    <w:rsid w:val="00754BFF"/>
    <w:rsid w:val="008170ED"/>
    <w:rsid w:val="00893FF6"/>
    <w:rsid w:val="008C30C3"/>
    <w:rsid w:val="008F304A"/>
    <w:rsid w:val="00992F49"/>
    <w:rsid w:val="00A77CB3"/>
    <w:rsid w:val="00AB5E9A"/>
    <w:rsid w:val="00BC5106"/>
    <w:rsid w:val="00BC6A78"/>
    <w:rsid w:val="00BE2146"/>
    <w:rsid w:val="00C265F3"/>
    <w:rsid w:val="00C5410E"/>
    <w:rsid w:val="00D26F01"/>
    <w:rsid w:val="00D87FC0"/>
    <w:rsid w:val="00DD2B64"/>
    <w:rsid w:val="00E649D1"/>
    <w:rsid w:val="00EA08C8"/>
    <w:rsid w:val="00F03912"/>
    <w:rsid w:val="00F278D1"/>
    <w:rsid w:val="00F40F04"/>
    <w:rsid w:val="00F52B30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8D282-5DB9-4B4D-94C5-2E1ED29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9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F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0ED"/>
  </w:style>
  <w:style w:type="paragraph" w:styleId="Piedepgina">
    <w:name w:val="footer"/>
    <w:basedOn w:val="Normal"/>
    <w:link w:val="PiedepginaCar"/>
    <w:uiPriority w:val="99"/>
    <w:unhideWhenUsed/>
    <w:rsid w:val="00817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Romina</cp:lastModifiedBy>
  <cp:revision>2</cp:revision>
  <cp:lastPrinted>2018-11-15T14:59:00Z</cp:lastPrinted>
  <dcterms:created xsi:type="dcterms:W3CDTF">2018-12-11T18:04:00Z</dcterms:created>
  <dcterms:modified xsi:type="dcterms:W3CDTF">2018-12-11T18:04:00Z</dcterms:modified>
</cp:coreProperties>
</file>