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6EE" w:rsidRDefault="003E16EE">
      <w:pPr>
        <w:spacing w:line="360" w:lineRule="auto"/>
        <w:rPr>
          <w:b/>
          <w:bCs/>
          <w:lang w:val="es-AR"/>
        </w:rPr>
      </w:pPr>
      <w:bookmarkStart w:id="0" w:name="_GoBack"/>
      <w:bookmarkEnd w:id="0"/>
      <w:r>
        <w:rPr>
          <w:b/>
          <w:bCs/>
          <w:lang w:val="es-AR"/>
        </w:rPr>
        <w:t>HONORABLE SENADO:</w:t>
      </w:r>
    </w:p>
    <w:p w:rsidR="003E16EE" w:rsidRDefault="003E16EE" w:rsidP="00097E2A">
      <w:pPr>
        <w:spacing w:line="360" w:lineRule="auto"/>
        <w:ind w:left="62"/>
        <w:jc w:val="both"/>
        <w:rPr>
          <w:b/>
          <w:bCs/>
          <w:sz w:val="16"/>
        </w:rPr>
      </w:pPr>
    </w:p>
    <w:p w:rsidR="003E16EE" w:rsidRDefault="003E16EE" w:rsidP="00D4366A">
      <w:pPr>
        <w:spacing w:line="360" w:lineRule="auto"/>
        <w:ind w:left="62"/>
        <w:jc w:val="both"/>
        <w:rPr>
          <w:bCs/>
        </w:rPr>
      </w:pPr>
      <w:r>
        <w:rPr>
          <w:b/>
          <w:bCs/>
        </w:rPr>
        <w:t xml:space="preserve">                                           </w:t>
      </w:r>
      <w:r>
        <w:rPr>
          <w:bCs/>
        </w:rPr>
        <w:t xml:space="preserve">Vuestra </w:t>
      </w:r>
      <w:r>
        <w:rPr>
          <w:b/>
          <w:bCs/>
          <w:lang w:val="es-AR"/>
        </w:rPr>
        <w:t>Comisión de Presupuesto y Hacienda</w:t>
      </w:r>
      <w:r w:rsidR="00AD746F">
        <w:rPr>
          <w:bCs/>
        </w:rPr>
        <w:t xml:space="preserve">, </w:t>
      </w:r>
      <w:r w:rsidR="008D6D74">
        <w:rPr>
          <w:bCs/>
        </w:rPr>
        <w:t>ha considerado</w:t>
      </w:r>
      <w:r>
        <w:rPr>
          <w:bCs/>
        </w:rPr>
        <w:t xml:space="preserve"> el Proyecto de Ley contenido en el Expediente </w:t>
      </w:r>
      <w:r w:rsidR="000736FA">
        <w:rPr>
          <w:b/>
        </w:rPr>
        <w:t xml:space="preserve">Nº </w:t>
      </w:r>
      <w:r w:rsidR="000736FA">
        <w:rPr>
          <w:b/>
          <w:lang w:val="es-AR"/>
        </w:rPr>
        <w:t>13.020</w:t>
      </w:r>
      <w:r>
        <w:rPr>
          <w:bCs/>
        </w:rPr>
        <w:t>,</w:t>
      </w:r>
      <w:r>
        <w:rPr>
          <w:b/>
        </w:rPr>
        <w:t xml:space="preserve"> </w:t>
      </w:r>
      <w:r w:rsidR="008268CA">
        <w:rPr>
          <w:bCs/>
        </w:rPr>
        <w:t xml:space="preserve">del que </w:t>
      </w:r>
      <w:r w:rsidR="000736FA">
        <w:rPr>
          <w:bCs/>
          <w:lang w:val="es-AR"/>
        </w:rPr>
        <w:t>es autor el Poder Ejecutivo</w:t>
      </w:r>
      <w:r>
        <w:rPr>
          <w:bCs/>
        </w:rPr>
        <w:t xml:space="preserve">, por el que se </w:t>
      </w:r>
      <w:r w:rsidR="000736FA">
        <w:rPr>
          <w:bCs/>
          <w:lang w:val="es-AR"/>
        </w:rPr>
        <w:t>aprueba el Consenso Fiscal celebrado el trece de septiembre de 2018, que complementa y modifica el Consenso Fiscal celebrado el dieciséis de noviembre de 2017</w:t>
      </w:r>
      <w:r w:rsidR="00F41416">
        <w:rPr>
          <w:bCs/>
          <w:lang w:val="es-AR"/>
        </w:rPr>
        <w:t xml:space="preserve"> </w:t>
      </w:r>
      <w:r>
        <w:rPr>
          <w:bCs/>
        </w:rPr>
        <w:t>y,</w:t>
      </w:r>
      <w:r>
        <w:t xml:space="preserve"> </w:t>
      </w:r>
      <w:r>
        <w:rPr>
          <w:bCs/>
        </w:rPr>
        <w:t xml:space="preserve">por las razones que dará su miembro informante, aconseja su aprobación en los </w:t>
      </w:r>
      <w:r w:rsidR="008268CA">
        <w:rPr>
          <w:bCs/>
          <w:lang w:val="es-AR"/>
        </w:rPr>
        <w:t>con las modificaciones introducidas</w:t>
      </w:r>
      <w:r>
        <w:rPr>
          <w:bCs/>
        </w:rPr>
        <w:t>.</w:t>
      </w:r>
    </w:p>
    <w:p w:rsidR="00C81156" w:rsidRDefault="00C81156" w:rsidP="00D4366A">
      <w:pPr>
        <w:spacing w:line="360" w:lineRule="auto"/>
        <w:ind w:left="62"/>
        <w:jc w:val="both"/>
        <w:rPr>
          <w:bCs/>
        </w:rPr>
      </w:pPr>
    </w:p>
    <w:p w:rsidR="00D74746" w:rsidRDefault="00D74746" w:rsidP="00C81156">
      <w:pPr>
        <w:pStyle w:val="Ttulo8"/>
        <w:numPr>
          <w:ilvl w:val="4"/>
          <w:numId w:val="1"/>
        </w:numPr>
        <w:spacing w:line="360" w:lineRule="auto"/>
        <w:rPr>
          <w:sz w:val="24"/>
        </w:rPr>
      </w:pPr>
    </w:p>
    <w:p w:rsidR="003E16EE" w:rsidRDefault="003E16EE">
      <w:pPr>
        <w:pStyle w:val="Ttulo8"/>
        <w:spacing w:line="360" w:lineRule="auto"/>
        <w:rPr>
          <w:sz w:val="24"/>
        </w:rPr>
      </w:pPr>
      <w:r>
        <w:rPr>
          <w:sz w:val="24"/>
        </w:rPr>
        <w:t>LA LEGISLATURA DE LA PROVINCIA DE ENTRE RIOS SANCIONA CON</w:t>
      </w:r>
    </w:p>
    <w:p w:rsidR="003E16EE" w:rsidRDefault="003E16EE">
      <w:pPr>
        <w:pStyle w:val="Ttulo8"/>
        <w:spacing w:line="360" w:lineRule="auto"/>
        <w:rPr>
          <w:sz w:val="24"/>
        </w:rPr>
      </w:pPr>
      <w:r>
        <w:rPr>
          <w:sz w:val="24"/>
        </w:rPr>
        <w:t>FUERZA DE</w:t>
      </w:r>
    </w:p>
    <w:p w:rsidR="003E16EE" w:rsidRDefault="003E16EE">
      <w:pPr>
        <w:pStyle w:val="Ttulo8"/>
        <w:spacing w:line="360" w:lineRule="auto"/>
        <w:rPr>
          <w:sz w:val="24"/>
        </w:rPr>
      </w:pPr>
      <w:r>
        <w:rPr>
          <w:sz w:val="24"/>
        </w:rPr>
        <w:t xml:space="preserve"> LEY </w:t>
      </w:r>
    </w:p>
    <w:p w:rsidR="008B2ADA" w:rsidRDefault="008B2ADA" w:rsidP="008B2ADA">
      <w:pPr>
        <w:rPr>
          <w:lang w:val="es-AR"/>
        </w:rPr>
      </w:pPr>
    </w:p>
    <w:p w:rsidR="008B2ADA" w:rsidRPr="008B2ADA" w:rsidRDefault="008B2ADA" w:rsidP="008B2ADA">
      <w:pPr>
        <w:spacing w:line="360" w:lineRule="auto"/>
        <w:rPr>
          <w:lang w:val="es-AR"/>
        </w:rPr>
      </w:pPr>
    </w:p>
    <w:p w:rsidR="000736FA" w:rsidRPr="00C81156" w:rsidRDefault="008B2ADA" w:rsidP="000736FA">
      <w:pPr>
        <w:autoSpaceDE w:val="0"/>
        <w:autoSpaceDN w:val="0"/>
        <w:adjustRightInd w:val="0"/>
        <w:spacing w:line="360" w:lineRule="auto"/>
        <w:jc w:val="both"/>
        <w:rPr>
          <w:color w:val="000000"/>
          <w:lang w:val="es-ES"/>
        </w:rPr>
      </w:pPr>
      <w:r w:rsidRPr="006762E0">
        <w:rPr>
          <w:b/>
          <w:bCs/>
          <w:color w:val="000000"/>
        </w:rPr>
        <w:t>ARTÍCULO 1º</w:t>
      </w:r>
      <w:r w:rsidRPr="006762E0">
        <w:rPr>
          <w:b/>
          <w:color w:val="000000"/>
        </w:rPr>
        <w:t xml:space="preserve">: </w:t>
      </w:r>
      <w:r w:rsidR="000736FA" w:rsidRPr="00C81156">
        <w:rPr>
          <w:color w:val="000000"/>
          <w:lang w:val="es-ES"/>
        </w:rPr>
        <w:t>Apruébase el Consenso Fiscal celebrado el 13 de septiembre de 2018, por medio del cual se complementa y modifica el Consenso Fiscal celebrado el 16 de noviembre de 2017 y ratifícase la gestión del Señor Gobernador de Entre Ríos de suscribir con el Poder Ejecutivo Nacional, representantes de las Provincias suscribientes, y de la Ciudad Autónoma de Buenos Aires el mismo, que como Anexo, forma parte integrante de esta Ley.-</w:t>
      </w:r>
    </w:p>
    <w:p w:rsidR="000736FA" w:rsidRPr="000736FA" w:rsidRDefault="000736FA" w:rsidP="000736FA">
      <w:pPr>
        <w:autoSpaceDE w:val="0"/>
        <w:autoSpaceDN w:val="0"/>
        <w:adjustRightInd w:val="0"/>
        <w:spacing w:line="360" w:lineRule="auto"/>
        <w:jc w:val="both"/>
        <w:rPr>
          <w:b/>
          <w:color w:val="000000"/>
          <w:lang w:val="es-ES"/>
        </w:rPr>
      </w:pPr>
    </w:p>
    <w:p w:rsidR="000736FA" w:rsidRPr="00C81156" w:rsidRDefault="000736FA" w:rsidP="000736FA">
      <w:pPr>
        <w:autoSpaceDE w:val="0"/>
        <w:autoSpaceDN w:val="0"/>
        <w:adjustRightInd w:val="0"/>
        <w:spacing w:line="360" w:lineRule="auto"/>
        <w:jc w:val="both"/>
        <w:rPr>
          <w:color w:val="000000"/>
          <w:lang w:val="es-AR"/>
        </w:rPr>
      </w:pPr>
      <w:r w:rsidRPr="000736FA">
        <w:rPr>
          <w:b/>
          <w:color w:val="000000"/>
          <w:u w:val="single"/>
          <w:lang w:val="es-AR"/>
        </w:rPr>
        <w:t>ARTICULO 2º</w:t>
      </w:r>
      <w:r w:rsidR="000D09FF">
        <w:rPr>
          <w:b/>
          <w:color w:val="000000"/>
          <w:u w:val="single"/>
          <w:lang w:val="es-AR"/>
        </w:rPr>
        <w:t>:</w:t>
      </w:r>
      <w:r w:rsidRPr="000736FA">
        <w:rPr>
          <w:b/>
          <w:color w:val="000000"/>
          <w:lang w:val="es-AR"/>
        </w:rPr>
        <w:t xml:space="preserve"> </w:t>
      </w:r>
      <w:r w:rsidRPr="00C81156">
        <w:rPr>
          <w:color w:val="000000"/>
          <w:lang w:val="es-ES"/>
        </w:rPr>
        <w:t>Sustitúyase el Artículo 12º de la Ley N° 9.622 y modificatorias (t.o. 2018) por el siguiente:</w:t>
      </w:r>
      <w:r w:rsidRPr="00C81156">
        <w:rPr>
          <w:color w:val="000000"/>
          <w:lang w:val="es-AR"/>
        </w:rPr>
        <w:t xml:space="preserve"> </w:t>
      </w:r>
    </w:p>
    <w:p w:rsidR="000736FA" w:rsidRPr="000736FA" w:rsidRDefault="000736FA" w:rsidP="000736FA">
      <w:pPr>
        <w:autoSpaceDE w:val="0"/>
        <w:autoSpaceDN w:val="0"/>
        <w:adjustRightInd w:val="0"/>
        <w:spacing w:line="360" w:lineRule="auto"/>
        <w:jc w:val="both"/>
        <w:rPr>
          <w:b/>
          <w:color w:val="000000"/>
          <w:u w:val="single"/>
          <w:lang w:val="es-AR"/>
        </w:rPr>
      </w:pPr>
    </w:p>
    <w:p w:rsidR="000736FA" w:rsidRPr="000736FA" w:rsidRDefault="000736FA" w:rsidP="00C81156">
      <w:pPr>
        <w:autoSpaceDE w:val="0"/>
        <w:autoSpaceDN w:val="0"/>
        <w:adjustRightInd w:val="0"/>
        <w:spacing w:line="360" w:lineRule="auto"/>
        <w:jc w:val="center"/>
        <w:rPr>
          <w:b/>
          <w:color w:val="000000"/>
          <w:lang w:val="es-AR"/>
        </w:rPr>
      </w:pPr>
      <w:r w:rsidRPr="000736FA">
        <w:rPr>
          <w:b/>
          <w:color w:val="000000"/>
          <w:lang w:val="es-AR"/>
        </w:rPr>
        <w:t>ACTOS Y CONTRATOS EN GENERAL</w:t>
      </w:r>
    </w:p>
    <w:p w:rsidR="000736FA" w:rsidRPr="000736FA" w:rsidRDefault="000736FA" w:rsidP="000736FA">
      <w:pPr>
        <w:autoSpaceDE w:val="0"/>
        <w:autoSpaceDN w:val="0"/>
        <w:adjustRightInd w:val="0"/>
        <w:spacing w:line="360" w:lineRule="auto"/>
        <w:jc w:val="both"/>
        <w:rPr>
          <w:b/>
          <w:color w:val="000000"/>
          <w:lang w:val="es-AR"/>
        </w:rPr>
      </w:pPr>
    </w:p>
    <w:p w:rsidR="000736FA" w:rsidRDefault="000736FA" w:rsidP="000736FA">
      <w:pPr>
        <w:autoSpaceDE w:val="0"/>
        <w:autoSpaceDN w:val="0"/>
        <w:adjustRightInd w:val="0"/>
        <w:spacing w:line="360" w:lineRule="auto"/>
        <w:jc w:val="both"/>
        <w:rPr>
          <w:color w:val="000000"/>
          <w:lang w:val="es-AR"/>
        </w:rPr>
      </w:pPr>
      <w:r w:rsidRPr="000736FA">
        <w:rPr>
          <w:b/>
          <w:color w:val="000000"/>
          <w:lang w:val="es-AR"/>
        </w:rPr>
        <w:t>“</w:t>
      </w:r>
      <w:r w:rsidR="000D09FF">
        <w:rPr>
          <w:b/>
          <w:color w:val="000000"/>
          <w:u w:val="single"/>
          <w:lang w:val="es-AR"/>
        </w:rPr>
        <w:t>ARTICULO 12º:</w:t>
      </w:r>
      <w:r w:rsidRPr="000736FA">
        <w:rPr>
          <w:b/>
          <w:color w:val="000000"/>
          <w:lang w:val="es-AR"/>
        </w:rPr>
        <w:t xml:space="preserve"> </w:t>
      </w:r>
      <w:r w:rsidRPr="00C81156">
        <w:rPr>
          <w:color w:val="000000"/>
          <w:lang w:val="es-AR"/>
        </w:rPr>
        <w:t xml:space="preserve">Por los actos, contratos y operaciones que a continuación se enumeran se deberá pagar el impuesto que en cada caso se establece: </w:t>
      </w:r>
    </w:p>
    <w:p w:rsidR="00C81156" w:rsidRPr="00C81156" w:rsidRDefault="00C81156" w:rsidP="000736FA">
      <w:pPr>
        <w:autoSpaceDE w:val="0"/>
        <w:autoSpaceDN w:val="0"/>
        <w:adjustRightInd w:val="0"/>
        <w:spacing w:line="360" w:lineRule="auto"/>
        <w:jc w:val="both"/>
        <w:rPr>
          <w:color w:val="000000"/>
          <w:lang w:val="es-AR"/>
        </w:rPr>
      </w:pPr>
    </w:p>
    <w:p w:rsidR="000736FA" w:rsidRPr="000736FA" w:rsidRDefault="000736FA" w:rsidP="000736FA">
      <w:pPr>
        <w:autoSpaceDE w:val="0"/>
        <w:autoSpaceDN w:val="0"/>
        <w:adjustRightInd w:val="0"/>
        <w:spacing w:line="360" w:lineRule="auto"/>
        <w:jc w:val="both"/>
        <w:rPr>
          <w:b/>
          <w:color w:val="000000"/>
          <w:lang w:val="es-AR"/>
        </w:rPr>
      </w:pPr>
    </w:p>
    <w:tbl>
      <w:tblPr>
        <w:tblW w:w="9771" w:type="dxa"/>
        <w:tblInd w:w="80" w:type="dxa"/>
        <w:tblLayout w:type="fixed"/>
        <w:tblCellMar>
          <w:left w:w="70" w:type="dxa"/>
          <w:right w:w="70" w:type="dxa"/>
        </w:tblCellMar>
        <w:tblLook w:val="00A0" w:firstRow="1" w:lastRow="0" w:firstColumn="1" w:lastColumn="0" w:noHBand="0" w:noVBand="0"/>
      </w:tblPr>
      <w:tblGrid>
        <w:gridCol w:w="5093"/>
        <w:gridCol w:w="982"/>
        <w:gridCol w:w="860"/>
        <w:gridCol w:w="860"/>
        <w:gridCol w:w="860"/>
        <w:gridCol w:w="1116"/>
      </w:tblGrid>
      <w:tr w:rsidR="000736FA" w:rsidRPr="000736FA" w:rsidTr="000736FA">
        <w:trPr>
          <w:trHeight w:val="315"/>
        </w:trPr>
        <w:tc>
          <w:tcPr>
            <w:tcW w:w="5093" w:type="dxa"/>
            <w:tcBorders>
              <w:top w:val="single" w:sz="8" w:space="0" w:color="auto"/>
              <w:left w:val="single" w:sz="8" w:space="0" w:color="auto"/>
              <w:bottom w:val="single" w:sz="8" w:space="0" w:color="auto"/>
              <w:right w:val="nil"/>
            </w:tcBorders>
            <w:vAlign w:val="bottom"/>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lastRenderedPageBreak/>
              <w:t xml:space="preserve">ACTOS Y CONTRATOS EN GENERAL </w:t>
            </w:r>
          </w:p>
        </w:tc>
        <w:tc>
          <w:tcPr>
            <w:tcW w:w="982" w:type="dxa"/>
            <w:tcBorders>
              <w:top w:val="single" w:sz="8" w:space="0" w:color="auto"/>
              <w:left w:val="single" w:sz="8" w:space="0" w:color="auto"/>
              <w:bottom w:val="single" w:sz="8" w:space="0" w:color="auto"/>
              <w:right w:val="single" w:sz="8"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 xml:space="preserve">2018 </w:t>
            </w:r>
          </w:p>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2019</w:t>
            </w:r>
          </w:p>
        </w:tc>
        <w:tc>
          <w:tcPr>
            <w:tcW w:w="860" w:type="dxa"/>
            <w:tcBorders>
              <w:top w:val="single" w:sz="8" w:space="0" w:color="auto"/>
              <w:left w:val="nil"/>
              <w:bottom w:val="single" w:sz="8" w:space="0" w:color="auto"/>
              <w:right w:val="single" w:sz="8"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2020</w:t>
            </w:r>
          </w:p>
        </w:tc>
        <w:tc>
          <w:tcPr>
            <w:tcW w:w="860" w:type="dxa"/>
            <w:tcBorders>
              <w:top w:val="single" w:sz="8" w:space="0" w:color="auto"/>
              <w:left w:val="nil"/>
              <w:bottom w:val="single" w:sz="8" w:space="0" w:color="auto"/>
              <w:right w:val="single" w:sz="8"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2021</w:t>
            </w:r>
          </w:p>
        </w:tc>
        <w:tc>
          <w:tcPr>
            <w:tcW w:w="860" w:type="dxa"/>
            <w:tcBorders>
              <w:top w:val="single" w:sz="8" w:space="0" w:color="auto"/>
              <w:left w:val="nil"/>
              <w:bottom w:val="single" w:sz="8" w:space="0" w:color="auto"/>
              <w:right w:val="single" w:sz="8"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2022</w:t>
            </w:r>
          </w:p>
        </w:tc>
        <w:tc>
          <w:tcPr>
            <w:tcW w:w="1116" w:type="dxa"/>
            <w:tcBorders>
              <w:top w:val="single" w:sz="8" w:space="0" w:color="auto"/>
              <w:left w:val="nil"/>
              <w:bottom w:val="single" w:sz="8" w:space="0" w:color="auto"/>
              <w:right w:val="single" w:sz="8"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2023</w:t>
            </w:r>
          </w:p>
        </w:tc>
      </w:tr>
      <w:tr w:rsidR="000736FA" w:rsidRPr="000736FA" w:rsidTr="000736FA">
        <w:trPr>
          <w:trHeight w:val="414"/>
        </w:trPr>
        <w:tc>
          <w:tcPr>
            <w:tcW w:w="5093" w:type="dxa"/>
            <w:vMerge w:val="restart"/>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 Acciones  y derechos: Cesión.  Por  las  cesiones de acciones y derechos</w:t>
            </w:r>
          </w:p>
        </w:tc>
        <w:tc>
          <w:tcPr>
            <w:tcW w:w="982" w:type="dxa"/>
            <w:vMerge w:val="restart"/>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vMerge w:val="restart"/>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vMerge w:val="restart"/>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vMerge w:val="restart"/>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vMerge w:val="restart"/>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093" w:type="dxa"/>
            <w:vMerge/>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330"/>
        </w:trPr>
        <w:tc>
          <w:tcPr>
            <w:tcW w:w="5093" w:type="dxa"/>
            <w:tcBorders>
              <w:top w:val="single" w:sz="4" w:space="0" w:color="auto"/>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 Actos y contratos en general:</w:t>
            </w:r>
          </w:p>
        </w:tc>
        <w:tc>
          <w:tcPr>
            <w:tcW w:w="982" w:type="dxa"/>
            <w:tcBorders>
              <w:top w:val="single" w:sz="4" w:space="0" w:color="auto"/>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single" w:sz="4" w:space="0" w:color="auto"/>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single" w:sz="4" w:space="0" w:color="auto"/>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single" w:sz="4" w:space="0" w:color="auto"/>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single" w:sz="4" w:space="0" w:color="auto"/>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342"/>
        </w:trPr>
        <w:tc>
          <w:tcPr>
            <w:tcW w:w="5093"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u w:val="single"/>
                <w:lang w:val="es-AR"/>
              </w:rPr>
            </w:pPr>
            <w:r w:rsidRPr="00C81156">
              <w:rPr>
                <w:color w:val="000000"/>
                <w:lang w:val="es-AR"/>
              </w:rPr>
              <w:t xml:space="preserve">     </w:t>
            </w:r>
            <w:r w:rsidRPr="00C81156">
              <w:rPr>
                <w:color w:val="000000"/>
                <w:u w:val="single"/>
                <w:lang w:val="es-AR"/>
              </w:rPr>
              <w:t>No gravados expresamente:</w:t>
            </w:r>
          </w:p>
        </w:tc>
        <w:tc>
          <w:tcPr>
            <w:tcW w:w="982"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16"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660"/>
        </w:trPr>
        <w:tc>
          <w:tcPr>
            <w:tcW w:w="5093" w:type="dxa"/>
            <w:tcBorders>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Si su monto es determinado o determinable, </w:t>
            </w:r>
          </w:p>
        </w:tc>
        <w:tc>
          <w:tcPr>
            <w:tcW w:w="982" w:type="dxa"/>
            <w:tcBorders>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660"/>
        </w:trPr>
        <w:tc>
          <w:tcPr>
            <w:tcW w:w="5093"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Si su monto no es determinado o  determinable.</w:t>
            </w:r>
          </w:p>
        </w:tc>
        <w:tc>
          <w:tcPr>
            <w:tcW w:w="982"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1116"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330"/>
        </w:trPr>
        <w:tc>
          <w:tcPr>
            <w:tcW w:w="5093"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r w:rsidRPr="00C81156">
              <w:rPr>
                <w:color w:val="000000"/>
                <w:u w:val="single"/>
                <w:lang w:val="es-AR"/>
              </w:rPr>
              <w:t>Gravado expresamente:</w:t>
            </w:r>
          </w:p>
        </w:tc>
        <w:tc>
          <w:tcPr>
            <w:tcW w:w="982"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16"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675"/>
        </w:trPr>
        <w:tc>
          <w:tcPr>
            <w:tcW w:w="5093" w:type="dxa"/>
            <w:tcBorders>
              <w:top w:val="nil"/>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Cuando su monto no es determinado o determinable.</w:t>
            </w:r>
          </w:p>
        </w:tc>
        <w:tc>
          <w:tcPr>
            <w:tcW w:w="982" w:type="dxa"/>
            <w:tcBorders>
              <w:top w:val="nil"/>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1116" w:type="dxa"/>
            <w:tcBorders>
              <w:top w:val="nil"/>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414"/>
        </w:trPr>
        <w:tc>
          <w:tcPr>
            <w:tcW w:w="5093" w:type="dxa"/>
            <w:vMerge w:val="restart"/>
            <w:tcBorders>
              <w:top w:val="single" w:sz="4"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 Billetes de lotería: Por la venta en jurisdicción de la Provincia de billetes de lotería, sobre el precio</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tc>
        <w:tc>
          <w:tcPr>
            <w:tcW w:w="982" w:type="dxa"/>
            <w:vMerge w:val="restart"/>
            <w:tcBorders>
              <w:top w:val="single" w:sz="4" w:space="0" w:color="auto"/>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1,00%</w:t>
            </w:r>
          </w:p>
        </w:tc>
        <w:tc>
          <w:tcPr>
            <w:tcW w:w="860" w:type="dxa"/>
            <w:vMerge w:val="restart"/>
            <w:tcBorders>
              <w:top w:val="single" w:sz="4" w:space="0" w:color="auto"/>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vMerge w:val="restart"/>
            <w:tcBorders>
              <w:top w:val="single" w:sz="4" w:space="0" w:color="auto"/>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vMerge w:val="restart"/>
            <w:tcBorders>
              <w:top w:val="single" w:sz="4" w:space="0" w:color="auto"/>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vMerge w:val="restart"/>
            <w:tcBorders>
              <w:top w:val="single" w:sz="4" w:space="0" w:color="auto"/>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660"/>
        </w:trPr>
        <w:tc>
          <w:tcPr>
            <w:tcW w:w="5093"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414"/>
        </w:trPr>
        <w:tc>
          <w:tcPr>
            <w:tcW w:w="5093" w:type="dxa"/>
            <w:vMerge w:val="restart"/>
            <w:tcBorders>
              <w:top w:val="single" w:sz="4"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4) Concesiones: Por las concesiones otorgadas por cualquier autoridad administrativa, salvo las que tengan tratamiento expreso </w:t>
            </w:r>
          </w:p>
        </w:tc>
        <w:tc>
          <w:tcPr>
            <w:tcW w:w="982"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1,00%</w:t>
            </w:r>
          </w:p>
        </w:tc>
        <w:tc>
          <w:tcPr>
            <w:tcW w:w="860"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093" w:type="dxa"/>
            <w:vMerge/>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414"/>
        </w:trPr>
        <w:tc>
          <w:tcPr>
            <w:tcW w:w="5093" w:type="dxa"/>
            <w:vMerge/>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660"/>
        </w:trPr>
        <w:tc>
          <w:tcPr>
            <w:tcW w:w="5093" w:type="dxa"/>
            <w:tcBorders>
              <w:top w:val="single" w:sz="8" w:space="0" w:color="000000"/>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5) Contratos de suministros de obras y  servicios públicos: </w:t>
            </w:r>
          </w:p>
        </w:tc>
        <w:tc>
          <w:tcPr>
            <w:tcW w:w="982" w:type="dxa"/>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single" w:sz="8" w:space="0" w:color="000000"/>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8" w:space="0" w:color="000000"/>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8" w:space="0" w:color="000000"/>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16" w:type="dxa"/>
            <w:tcBorders>
              <w:top w:val="single" w:sz="8" w:space="0" w:color="000000"/>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660"/>
        </w:trPr>
        <w:tc>
          <w:tcPr>
            <w:tcW w:w="5093" w:type="dxa"/>
            <w:tcBorders>
              <w:top w:val="nil"/>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los contratos de suministros  de  obras y servicios públicos</w:t>
            </w:r>
          </w:p>
        </w:tc>
        <w:tc>
          <w:tcPr>
            <w:tcW w:w="982" w:type="dxa"/>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1005"/>
        </w:trPr>
        <w:tc>
          <w:tcPr>
            <w:tcW w:w="5093" w:type="dxa"/>
            <w:tcBorders>
              <w:top w:val="nil"/>
              <w:left w:val="single" w:sz="8" w:space="0" w:color="000000"/>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Por los actos, contratos, solicitudes o  instrumentos semejantes por prestaciones de servicios continuos</w:t>
            </w:r>
          </w:p>
        </w:tc>
        <w:tc>
          <w:tcPr>
            <w:tcW w:w="982" w:type="dxa"/>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093" w:type="dxa"/>
            <w:vMerge w:val="restart"/>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6) Contratos. Rescisión. Por la rescisión de cualquier contrato instrumentado privada o públicamente, el Cincuenta por Ciento del impuesto correspondiente al contrato que se rescinde.</w:t>
            </w:r>
          </w:p>
        </w:tc>
        <w:tc>
          <w:tcPr>
            <w:tcW w:w="982" w:type="dxa"/>
            <w:vMerge w:val="restart"/>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50,00%</w:t>
            </w:r>
          </w:p>
        </w:tc>
        <w:tc>
          <w:tcPr>
            <w:tcW w:w="860" w:type="dxa"/>
            <w:vMerge w:val="restart"/>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50,00%</w:t>
            </w:r>
          </w:p>
        </w:tc>
        <w:tc>
          <w:tcPr>
            <w:tcW w:w="860" w:type="dxa"/>
            <w:vMerge w:val="restart"/>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50,00%</w:t>
            </w:r>
          </w:p>
        </w:tc>
        <w:tc>
          <w:tcPr>
            <w:tcW w:w="860" w:type="dxa"/>
            <w:vMerge w:val="restart"/>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50,00%</w:t>
            </w:r>
          </w:p>
        </w:tc>
        <w:tc>
          <w:tcPr>
            <w:tcW w:w="1116" w:type="dxa"/>
            <w:vMerge w:val="restart"/>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093" w:type="dxa"/>
            <w:vMerge/>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414"/>
        </w:trPr>
        <w:tc>
          <w:tcPr>
            <w:tcW w:w="5093" w:type="dxa"/>
            <w:vMerge/>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435"/>
        </w:trPr>
        <w:tc>
          <w:tcPr>
            <w:tcW w:w="5093" w:type="dxa"/>
            <w:vMerge/>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414"/>
        </w:trPr>
        <w:tc>
          <w:tcPr>
            <w:tcW w:w="5093" w:type="dxa"/>
            <w:vMerge w:val="restart"/>
            <w:tcBorders>
              <w:top w:val="single" w:sz="8" w:space="0" w:color="auto"/>
              <w:left w:val="single" w:sz="8" w:space="0" w:color="auto"/>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7) Deudas: Por los reconocimientos de deuda </w:t>
            </w:r>
          </w:p>
        </w:tc>
        <w:tc>
          <w:tcPr>
            <w:tcW w:w="982" w:type="dxa"/>
            <w:vMerge w:val="restart"/>
            <w:tcBorders>
              <w:top w:val="single" w:sz="8"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vMerge w:val="restart"/>
            <w:tcBorders>
              <w:top w:val="single" w:sz="8"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vMerge w:val="restart"/>
            <w:tcBorders>
              <w:top w:val="single" w:sz="8"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vMerge w:val="restart"/>
            <w:tcBorders>
              <w:top w:val="single" w:sz="8"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vMerge w:val="restart"/>
            <w:tcBorders>
              <w:top w:val="single" w:sz="8" w:space="0" w:color="auto"/>
              <w:left w:val="single" w:sz="8" w:space="0" w:color="000000"/>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093" w:type="dxa"/>
            <w:vMerge/>
            <w:tcBorders>
              <w:top w:val="single" w:sz="8" w:space="0" w:color="auto"/>
              <w:left w:val="single" w:sz="8" w:space="0" w:color="auto"/>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auto"/>
              <w:left w:val="single" w:sz="8" w:space="0" w:color="000000"/>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675"/>
        </w:trPr>
        <w:tc>
          <w:tcPr>
            <w:tcW w:w="5093" w:type="dxa"/>
            <w:tcBorders>
              <w:top w:val="single" w:sz="4" w:space="0" w:color="auto"/>
              <w:left w:val="single" w:sz="4" w:space="0" w:color="auto"/>
              <w:bottom w:val="single" w:sz="4" w:space="0" w:color="auto"/>
              <w:right w:val="single" w:sz="4" w:space="0" w:color="auto"/>
            </w:tcBorders>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8) Garantías personales: Por fianza,  garantía o aval</w:t>
            </w:r>
          </w:p>
          <w:p w:rsidR="000736FA" w:rsidRPr="00C81156" w:rsidRDefault="000736FA" w:rsidP="000736FA">
            <w:pPr>
              <w:autoSpaceDE w:val="0"/>
              <w:autoSpaceDN w:val="0"/>
              <w:adjustRightInd w:val="0"/>
              <w:spacing w:line="360" w:lineRule="auto"/>
              <w:jc w:val="both"/>
              <w:rPr>
                <w:color w:val="000000"/>
                <w:lang w:val="es-AR"/>
              </w:rPr>
            </w:pPr>
          </w:p>
        </w:tc>
        <w:tc>
          <w:tcPr>
            <w:tcW w:w="982" w:type="dxa"/>
            <w:tcBorders>
              <w:top w:val="nil"/>
              <w:left w:val="single" w:sz="4" w:space="0" w:color="auto"/>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0,40%</w:t>
            </w:r>
          </w:p>
        </w:tc>
        <w:tc>
          <w:tcPr>
            <w:tcW w:w="86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nil"/>
              <w:left w:val="nil"/>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093" w:type="dxa"/>
            <w:vMerge w:val="restart"/>
            <w:tcBorders>
              <w:top w:val="single" w:sz="4"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9) Locación y sublocación: Por la locación  de obras, de servicios y  locación y sublocación de muebles o inmuebles y por sus cesiones o transferencias</w:t>
            </w:r>
          </w:p>
        </w:tc>
        <w:tc>
          <w:tcPr>
            <w:tcW w:w="982" w:type="dxa"/>
            <w:vMerge w:val="restart"/>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1,00%</w:t>
            </w:r>
          </w:p>
        </w:tc>
        <w:tc>
          <w:tcPr>
            <w:tcW w:w="860" w:type="dxa"/>
            <w:vMerge w:val="restart"/>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vMerge w:val="restart"/>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vMerge w:val="restart"/>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vMerge w:val="restart"/>
            <w:tcBorders>
              <w:top w:val="single" w:sz="8" w:space="0" w:color="000000"/>
              <w:left w:val="nil"/>
              <w:bottom w:val="single" w:sz="4" w:space="0" w:color="auto"/>
              <w:right w:val="single" w:sz="8" w:space="0" w:color="000000"/>
            </w:tcBorders>
            <w:noWrap/>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093" w:type="dxa"/>
            <w:vMerge/>
            <w:tcBorders>
              <w:top w:val="single" w:sz="8" w:space="0" w:color="000000"/>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705"/>
        </w:trPr>
        <w:tc>
          <w:tcPr>
            <w:tcW w:w="5093"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414"/>
        </w:trPr>
        <w:tc>
          <w:tcPr>
            <w:tcW w:w="5093" w:type="dxa"/>
            <w:vMerge w:val="restart"/>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10) Mercaderías y bienes muebles: Por cada compraventa  de mercaderías  o  bienes muebles  en  general</w:t>
            </w:r>
          </w:p>
          <w:p w:rsidR="000736FA" w:rsidRPr="00C81156" w:rsidRDefault="000736FA" w:rsidP="000736FA">
            <w:pPr>
              <w:autoSpaceDE w:val="0"/>
              <w:autoSpaceDN w:val="0"/>
              <w:adjustRightInd w:val="0"/>
              <w:spacing w:line="360" w:lineRule="auto"/>
              <w:jc w:val="both"/>
              <w:rPr>
                <w:color w:val="000000"/>
                <w:lang w:val="es-AR"/>
              </w:rPr>
            </w:pPr>
          </w:p>
        </w:tc>
        <w:tc>
          <w:tcPr>
            <w:tcW w:w="982" w:type="dxa"/>
            <w:vMerge w:val="restart"/>
            <w:tcBorders>
              <w:top w:val="single" w:sz="4" w:space="0" w:color="auto"/>
              <w:left w:val="single" w:sz="4" w:space="0" w:color="auto"/>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1,00%</w:t>
            </w:r>
          </w:p>
        </w:tc>
        <w:tc>
          <w:tcPr>
            <w:tcW w:w="860"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690"/>
        </w:trPr>
        <w:tc>
          <w:tcPr>
            <w:tcW w:w="5093" w:type="dxa"/>
            <w:vMerge/>
            <w:tcBorders>
              <w:top w:val="single" w:sz="8" w:space="0" w:color="000000"/>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4" w:space="0" w:color="auto"/>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345"/>
        </w:trPr>
        <w:tc>
          <w:tcPr>
            <w:tcW w:w="5093" w:type="dxa"/>
            <w:tcBorders>
              <w:top w:val="single" w:sz="4" w:space="0" w:color="auto"/>
              <w:left w:val="single" w:sz="8" w:space="0" w:color="000000"/>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11) Mutuo: De mutuo</w:t>
            </w:r>
          </w:p>
          <w:p w:rsidR="000736FA" w:rsidRPr="00C81156" w:rsidRDefault="000736FA" w:rsidP="000736FA">
            <w:pPr>
              <w:autoSpaceDE w:val="0"/>
              <w:autoSpaceDN w:val="0"/>
              <w:adjustRightInd w:val="0"/>
              <w:spacing w:line="360" w:lineRule="auto"/>
              <w:jc w:val="both"/>
              <w:rPr>
                <w:color w:val="000000"/>
                <w:lang w:val="es-AR"/>
              </w:rPr>
            </w:pPr>
          </w:p>
        </w:tc>
        <w:tc>
          <w:tcPr>
            <w:tcW w:w="982" w:type="dxa"/>
            <w:tcBorders>
              <w:top w:val="single" w:sz="8" w:space="0" w:color="000000"/>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single" w:sz="8" w:space="0" w:color="000000"/>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single" w:sz="8" w:space="0" w:color="000000"/>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single" w:sz="8" w:space="0" w:color="000000"/>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single" w:sz="8" w:space="0" w:color="000000"/>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357"/>
        </w:trPr>
        <w:tc>
          <w:tcPr>
            <w:tcW w:w="5093" w:type="dxa"/>
            <w:tcBorders>
              <w:top w:val="nil"/>
              <w:left w:val="single" w:sz="8" w:space="0" w:color="000000"/>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12)  Novación: De novación</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tc>
        <w:tc>
          <w:tcPr>
            <w:tcW w:w="982" w:type="dxa"/>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093" w:type="dxa"/>
            <w:vMerge w:val="restart"/>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13) Obligaciones: Por las obligaciones de pagar sumas de dinero</w:t>
            </w:r>
          </w:p>
        </w:tc>
        <w:tc>
          <w:tcPr>
            <w:tcW w:w="982" w:type="dxa"/>
            <w:vMerge w:val="restart"/>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vMerge w:val="restart"/>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vMerge w:val="restart"/>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vMerge w:val="restart"/>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525"/>
        </w:trPr>
        <w:tc>
          <w:tcPr>
            <w:tcW w:w="5093" w:type="dxa"/>
            <w:vMerge/>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330"/>
        </w:trPr>
        <w:tc>
          <w:tcPr>
            <w:tcW w:w="5093" w:type="dxa"/>
            <w:tcBorders>
              <w:top w:val="single" w:sz="4" w:space="0" w:color="auto"/>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 Prenda:</w:t>
            </w:r>
          </w:p>
        </w:tc>
        <w:tc>
          <w:tcPr>
            <w:tcW w:w="982" w:type="dxa"/>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16"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660"/>
        </w:trPr>
        <w:tc>
          <w:tcPr>
            <w:tcW w:w="5093" w:type="dxa"/>
            <w:tcBorders>
              <w:top w:val="nil"/>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a)       Por la constitución de prenda</w:t>
            </w:r>
          </w:p>
        </w:tc>
        <w:tc>
          <w:tcPr>
            <w:tcW w:w="982" w:type="dxa"/>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660"/>
        </w:trPr>
        <w:tc>
          <w:tcPr>
            <w:tcW w:w="5093" w:type="dxa"/>
            <w:tcBorders>
              <w:top w:val="nil"/>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b)       Por la transferencia o endosos</w:t>
            </w:r>
          </w:p>
        </w:tc>
        <w:tc>
          <w:tcPr>
            <w:tcW w:w="982" w:type="dxa"/>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660"/>
        </w:trPr>
        <w:tc>
          <w:tcPr>
            <w:tcW w:w="5093" w:type="dxa"/>
            <w:tcBorders>
              <w:top w:val="nil"/>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c)       Por la cancelación total o parcial</w:t>
            </w:r>
          </w:p>
        </w:tc>
        <w:tc>
          <w:tcPr>
            <w:tcW w:w="982" w:type="dxa"/>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0,40%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0,40%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0,40%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345"/>
        </w:trPr>
        <w:tc>
          <w:tcPr>
            <w:tcW w:w="5093" w:type="dxa"/>
            <w:tcBorders>
              <w:top w:val="nil"/>
              <w:left w:val="single" w:sz="8" w:space="0" w:color="000000"/>
              <w:bottom w:val="single" w:sz="8" w:space="0" w:color="000000"/>
              <w:right w:val="nil"/>
            </w:tcBorders>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Con un mínimo de:</w:t>
            </w:r>
          </w:p>
          <w:p w:rsidR="000736FA" w:rsidRPr="00C81156" w:rsidRDefault="000736FA" w:rsidP="000736FA">
            <w:pPr>
              <w:autoSpaceDE w:val="0"/>
              <w:autoSpaceDN w:val="0"/>
              <w:adjustRightInd w:val="0"/>
              <w:spacing w:line="360" w:lineRule="auto"/>
              <w:jc w:val="both"/>
              <w:rPr>
                <w:color w:val="000000"/>
                <w:lang w:val="es-AR"/>
              </w:rPr>
            </w:pPr>
          </w:p>
        </w:tc>
        <w:tc>
          <w:tcPr>
            <w:tcW w:w="982" w:type="dxa"/>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1116"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C81156" w:rsidTr="000736FA">
        <w:trPr>
          <w:trHeight w:val="414"/>
        </w:trPr>
        <w:tc>
          <w:tcPr>
            <w:tcW w:w="5093" w:type="dxa"/>
            <w:vMerge w:val="restart"/>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15) Renta vitalicia:  Por la constitución de rentas vitalicias </w:t>
            </w:r>
          </w:p>
          <w:p w:rsidR="000736FA" w:rsidRPr="00C81156" w:rsidRDefault="000736FA" w:rsidP="000736FA">
            <w:pPr>
              <w:autoSpaceDE w:val="0"/>
              <w:autoSpaceDN w:val="0"/>
              <w:adjustRightInd w:val="0"/>
              <w:spacing w:line="360" w:lineRule="auto"/>
              <w:jc w:val="both"/>
              <w:rPr>
                <w:color w:val="000000"/>
                <w:lang w:val="es-AR"/>
              </w:rPr>
            </w:pPr>
          </w:p>
        </w:tc>
        <w:tc>
          <w:tcPr>
            <w:tcW w:w="982" w:type="dxa"/>
            <w:vMerge w:val="restart"/>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1,00%</w:t>
            </w:r>
          </w:p>
        </w:tc>
        <w:tc>
          <w:tcPr>
            <w:tcW w:w="860" w:type="dxa"/>
            <w:vMerge w:val="restart"/>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vMerge w:val="restart"/>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vMerge w:val="restart"/>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vMerge w:val="restart"/>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C81156" w:rsidTr="000736FA">
        <w:trPr>
          <w:trHeight w:val="414"/>
        </w:trPr>
        <w:tc>
          <w:tcPr>
            <w:tcW w:w="5093"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C81156" w:rsidTr="000736FA">
        <w:trPr>
          <w:trHeight w:val="330"/>
        </w:trPr>
        <w:tc>
          <w:tcPr>
            <w:tcW w:w="5093" w:type="dxa"/>
            <w:tcBorders>
              <w:top w:val="single" w:sz="8" w:space="0" w:color="000000"/>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16) Transacciones:</w:t>
            </w:r>
          </w:p>
          <w:p w:rsidR="000736FA" w:rsidRPr="00C81156" w:rsidRDefault="000736FA" w:rsidP="000736FA">
            <w:pPr>
              <w:autoSpaceDE w:val="0"/>
              <w:autoSpaceDN w:val="0"/>
              <w:adjustRightInd w:val="0"/>
              <w:spacing w:line="360" w:lineRule="auto"/>
              <w:jc w:val="both"/>
              <w:rPr>
                <w:color w:val="000000"/>
                <w:lang w:val="es-AR"/>
              </w:rPr>
            </w:pPr>
          </w:p>
        </w:tc>
        <w:tc>
          <w:tcPr>
            <w:tcW w:w="982" w:type="dxa"/>
            <w:tcBorders>
              <w:top w:val="single" w:sz="8" w:space="0" w:color="000000"/>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single" w:sz="8" w:space="0" w:color="000000"/>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8" w:space="0" w:color="000000"/>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8" w:space="0" w:color="000000"/>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16" w:type="dxa"/>
            <w:tcBorders>
              <w:top w:val="single" w:sz="8" w:space="0" w:color="000000"/>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C81156" w:rsidTr="000736FA">
        <w:trPr>
          <w:trHeight w:val="1005"/>
        </w:trPr>
        <w:tc>
          <w:tcPr>
            <w:tcW w:w="5093" w:type="dxa"/>
            <w:tcBorders>
              <w:top w:val="nil"/>
              <w:left w:val="single" w:sz="8" w:space="0" w:color="000000"/>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las transacciones  instrumentadas pública  o privadamente, o realizadas en  actuaciones administrativas</w:t>
            </w:r>
          </w:p>
          <w:p w:rsidR="000736FA" w:rsidRPr="00C81156" w:rsidRDefault="000736FA" w:rsidP="000736FA">
            <w:pPr>
              <w:autoSpaceDE w:val="0"/>
              <w:autoSpaceDN w:val="0"/>
              <w:adjustRightInd w:val="0"/>
              <w:spacing w:line="360" w:lineRule="auto"/>
              <w:jc w:val="both"/>
              <w:rPr>
                <w:color w:val="000000"/>
                <w:lang w:val="es-AR"/>
              </w:rPr>
            </w:pPr>
          </w:p>
        </w:tc>
        <w:tc>
          <w:tcPr>
            <w:tcW w:w="982" w:type="dxa"/>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C81156" w:rsidTr="000736FA">
        <w:trPr>
          <w:trHeight w:val="1320"/>
        </w:trPr>
        <w:tc>
          <w:tcPr>
            <w:tcW w:w="5093" w:type="dxa"/>
            <w:tcBorders>
              <w:top w:val="single" w:sz="4" w:space="0" w:color="auto"/>
              <w:left w:val="single" w:sz="4"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17)  Los actos, contratos, planillas, liquidaciones o cualquier otro acto o hecho que exteriorice operaciones de compraventa de cereales, oleaginosos y de subproductos</w:t>
            </w:r>
          </w:p>
        </w:tc>
        <w:tc>
          <w:tcPr>
            <w:tcW w:w="982" w:type="dxa"/>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single" w:sz="4" w:space="0" w:color="auto"/>
              <w:left w:val="nil"/>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C81156" w:rsidTr="000736FA">
        <w:trPr>
          <w:trHeight w:val="2655"/>
        </w:trPr>
        <w:tc>
          <w:tcPr>
            <w:tcW w:w="5093" w:type="dxa"/>
            <w:tcBorders>
              <w:top w:val="nil"/>
              <w:left w:val="single" w:sz="4" w:space="0" w:color="auto"/>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Quedan exceptuadas las que correspondan a productos industrializados o los subproductos que resulten en dichos procesos, para ser reprocesados o no, y en tanto dichas operaciones sean facturadas por el industrializador. Cuando los instrumentos gravados se inscriban en la Cámara Arbitral de Cereales de Entre Ríos y/o Bolsa de Cereales de Entre Ríos, el gravamen se reducirá al:</w:t>
            </w:r>
          </w:p>
        </w:tc>
        <w:tc>
          <w:tcPr>
            <w:tcW w:w="982" w:type="dxa"/>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0,15%</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0,15%</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0,15%</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0,15%</w:t>
            </w:r>
          </w:p>
        </w:tc>
        <w:tc>
          <w:tcPr>
            <w:tcW w:w="1116" w:type="dxa"/>
            <w:tcBorders>
              <w:top w:val="nil"/>
              <w:left w:val="nil"/>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C81156" w:rsidTr="000736FA">
        <w:trPr>
          <w:trHeight w:val="414"/>
        </w:trPr>
        <w:tc>
          <w:tcPr>
            <w:tcW w:w="5093" w:type="dxa"/>
            <w:vMerge w:val="restart"/>
            <w:tcBorders>
              <w:top w:val="single" w:sz="4"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18) Por la división de condominio sobre bienes muebles</w:t>
            </w:r>
          </w:p>
        </w:tc>
        <w:tc>
          <w:tcPr>
            <w:tcW w:w="982" w:type="dxa"/>
            <w:vMerge w:val="restart"/>
            <w:tcBorders>
              <w:top w:val="single" w:sz="4" w:space="0" w:color="auto"/>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0,30%</w:t>
            </w:r>
          </w:p>
        </w:tc>
        <w:tc>
          <w:tcPr>
            <w:tcW w:w="860" w:type="dxa"/>
            <w:vMerge w:val="restart"/>
            <w:tcBorders>
              <w:top w:val="single" w:sz="4" w:space="0" w:color="auto"/>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0,30%</w:t>
            </w:r>
          </w:p>
        </w:tc>
        <w:tc>
          <w:tcPr>
            <w:tcW w:w="860" w:type="dxa"/>
            <w:vMerge w:val="restart"/>
            <w:tcBorders>
              <w:top w:val="single" w:sz="4" w:space="0" w:color="auto"/>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0,30%</w:t>
            </w:r>
          </w:p>
        </w:tc>
        <w:tc>
          <w:tcPr>
            <w:tcW w:w="860" w:type="dxa"/>
            <w:vMerge w:val="restart"/>
            <w:tcBorders>
              <w:top w:val="single" w:sz="4" w:space="0" w:color="auto"/>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vMerge w:val="restart"/>
            <w:tcBorders>
              <w:top w:val="single" w:sz="4" w:space="0" w:color="auto"/>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C81156" w:rsidTr="000736FA">
        <w:trPr>
          <w:trHeight w:val="414"/>
        </w:trPr>
        <w:tc>
          <w:tcPr>
            <w:tcW w:w="5093" w:type="dxa"/>
            <w:vMerge/>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C81156" w:rsidTr="000736FA">
        <w:trPr>
          <w:trHeight w:val="675"/>
        </w:trPr>
        <w:tc>
          <w:tcPr>
            <w:tcW w:w="5093" w:type="dxa"/>
            <w:tcBorders>
              <w:top w:val="single" w:sz="4" w:space="0" w:color="auto"/>
              <w:left w:val="single" w:sz="8" w:space="0" w:color="000000"/>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19) Por la renuncia de derechos hereditarios o creditorios</w:t>
            </w:r>
          </w:p>
        </w:tc>
        <w:tc>
          <w:tcPr>
            <w:tcW w:w="982" w:type="dxa"/>
            <w:tcBorders>
              <w:top w:val="single" w:sz="4" w:space="0" w:color="auto"/>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single" w:sz="4" w:space="0" w:color="auto"/>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single" w:sz="4" w:space="0" w:color="auto"/>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single" w:sz="4" w:space="0" w:color="auto"/>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single" w:sz="4" w:space="0" w:color="auto"/>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C81156" w:rsidTr="000736FA">
        <w:trPr>
          <w:trHeight w:val="414"/>
        </w:trPr>
        <w:tc>
          <w:tcPr>
            <w:tcW w:w="5093" w:type="dxa"/>
            <w:vMerge w:val="restart"/>
            <w:tcBorders>
              <w:top w:val="single" w:sz="4"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20) Por la disolución de la sociedad conyugal, cualquiera sea la        causa</w:t>
            </w:r>
          </w:p>
        </w:tc>
        <w:tc>
          <w:tcPr>
            <w:tcW w:w="982"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1,00%</w:t>
            </w:r>
          </w:p>
        </w:tc>
        <w:tc>
          <w:tcPr>
            <w:tcW w:w="860"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vMerge w:val="restart"/>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C81156" w:rsidTr="000736FA">
        <w:trPr>
          <w:trHeight w:val="414"/>
        </w:trPr>
        <w:tc>
          <w:tcPr>
            <w:tcW w:w="5093" w:type="dxa"/>
            <w:vMerge/>
            <w:tcBorders>
              <w:top w:val="single" w:sz="8" w:space="0" w:color="000000"/>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C81156" w:rsidTr="000736FA">
        <w:trPr>
          <w:trHeight w:val="414"/>
        </w:trPr>
        <w:tc>
          <w:tcPr>
            <w:tcW w:w="5093" w:type="dxa"/>
            <w:vMerge w:val="restart"/>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21) Actos, contratos o instrumentos de suscripción a planes o sistemas que efectúen requerimientos y/o captación de dinero al público y/o administración de fondos de tercero con la promesa de adjudicación, y/o entrega de bienes futuros, mediante patrón aleatorio (Planes de ahorro, círculos cerrados, círculos abiertos, sistemas 60 x 1.000, y/o similares)</w:t>
            </w:r>
          </w:p>
          <w:p w:rsidR="000736FA" w:rsidRPr="00C81156" w:rsidRDefault="000736FA" w:rsidP="000736FA">
            <w:pPr>
              <w:autoSpaceDE w:val="0"/>
              <w:autoSpaceDN w:val="0"/>
              <w:adjustRightInd w:val="0"/>
              <w:spacing w:line="360" w:lineRule="auto"/>
              <w:jc w:val="both"/>
              <w:rPr>
                <w:color w:val="000000"/>
                <w:lang w:val="es-AR"/>
              </w:rPr>
            </w:pPr>
          </w:p>
        </w:tc>
        <w:tc>
          <w:tcPr>
            <w:tcW w:w="982" w:type="dxa"/>
            <w:vMerge w:val="restart"/>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1,00%</w:t>
            </w:r>
          </w:p>
        </w:tc>
        <w:tc>
          <w:tcPr>
            <w:tcW w:w="860" w:type="dxa"/>
            <w:vMerge w:val="restart"/>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vMerge w:val="restart"/>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vMerge w:val="restart"/>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vMerge w:val="restart"/>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C81156" w:rsidTr="000736FA">
        <w:trPr>
          <w:trHeight w:val="414"/>
        </w:trPr>
        <w:tc>
          <w:tcPr>
            <w:tcW w:w="5093"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C81156" w:rsidTr="000736FA">
        <w:trPr>
          <w:trHeight w:val="414"/>
        </w:trPr>
        <w:tc>
          <w:tcPr>
            <w:tcW w:w="5093"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C81156" w:rsidTr="000736FA">
        <w:trPr>
          <w:trHeight w:val="414"/>
        </w:trPr>
        <w:tc>
          <w:tcPr>
            <w:tcW w:w="5093"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C81156" w:rsidTr="000736FA">
        <w:trPr>
          <w:trHeight w:val="414"/>
        </w:trPr>
        <w:tc>
          <w:tcPr>
            <w:tcW w:w="5093"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C81156" w:rsidTr="000736FA">
        <w:trPr>
          <w:trHeight w:val="414"/>
        </w:trPr>
        <w:tc>
          <w:tcPr>
            <w:tcW w:w="5093"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C81156" w:rsidTr="000736FA">
        <w:trPr>
          <w:trHeight w:val="414"/>
        </w:trPr>
        <w:tc>
          <w:tcPr>
            <w:tcW w:w="5093"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982"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60"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16" w:type="dxa"/>
            <w:vMerge/>
            <w:tcBorders>
              <w:top w:val="single" w:sz="8" w:space="0" w:color="000000"/>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C81156" w:rsidTr="000736FA">
        <w:trPr>
          <w:trHeight w:val="675"/>
        </w:trPr>
        <w:tc>
          <w:tcPr>
            <w:tcW w:w="5093" w:type="dxa"/>
            <w:tcBorders>
              <w:top w:val="single" w:sz="4" w:space="0" w:color="auto"/>
              <w:left w:val="single" w:sz="8" w:space="0" w:color="000000"/>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22) Por contratos de fideicomisos</w:t>
            </w:r>
          </w:p>
        </w:tc>
        <w:tc>
          <w:tcPr>
            <w:tcW w:w="982" w:type="dxa"/>
            <w:tcBorders>
              <w:top w:val="single" w:sz="4" w:space="0" w:color="auto"/>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single" w:sz="4" w:space="0" w:color="auto"/>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single" w:sz="4" w:space="0" w:color="auto"/>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single" w:sz="4" w:space="0" w:color="auto"/>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single" w:sz="4" w:space="0" w:color="auto"/>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C81156" w:rsidTr="000736FA">
        <w:trPr>
          <w:trHeight w:val="345"/>
        </w:trPr>
        <w:tc>
          <w:tcPr>
            <w:tcW w:w="5093" w:type="dxa"/>
            <w:tcBorders>
              <w:top w:val="nil"/>
              <w:left w:val="single" w:sz="8" w:space="0" w:color="000000"/>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23) Por contratos de leasing</w:t>
            </w:r>
          </w:p>
          <w:p w:rsidR="000736FA" w:rsidRPr="00C81156" w:rsidRDefault="000736FA" w:rsidP="000736FA">
            <w:pPr>
              <w:autoSpaceDE w:val="0"/>
              <w:autoSpaceDN w:val="0"/>
              <w:adjustRightInd w:val="0"/>
              <w:spacing w:line="360" w:lineRule="auto"/>
              <w:jc w:val="both"/>
              <w:rPr>
                <w:color w:val="000000"/>
                <w:lang w:val="es-AR"/>
              </w:rPr>
            </w:pPr>
          </w:p>
        </w:tc>
        <w:tc>
          <w:tcPr>
            <w:tcW w:w="982" w:type="dxa"/>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16"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C81156" w:rsidTr="000736FA">
        <w:trPr>
          <w:trHeight w:val="1980"/>
        </w:trPr>
        <w:tc>
          <w:tcPr>
            <w:tcW w:w="5093" w:type="dxa"/>
            <w:tcBorders>
              <w:top w:val="single" w:sz="4" w:space="0" w:color="auto"/>
              <w:left w:val="single" w:sz="4" w:space="0" w:color="auto"/>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24) Sociedades:</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a.- Por la transferencia de fondos de comercio, de establecimientos comerciales, industriales, mineros y de cuotas o participaciones en sociedades civiles y comerciales, su valor se establecerá de acuerdo al patrimonio neto</w:t>
            </w:r>
          </w:p>
          <w:p w:rsidR="001A62C3" w:rsidRDefault="000736FA" w:rsidP="000736FA">
            <w:pPr>
              <w:autoSpaceDE w:val="0"/>
              <w:autoSpaceDN w:val="0"/>
              <w:adjustRightInd w:val="0"/>
              <w:spacing w:line="360" w:lineRule="auto"/>
              <w:jc w:val="both"/>
              <w:rPr>
                <w:color w:val="000000"/>
                <w:lang w:val="es-AR"/>
              </w:rPr>
            </w:pPr>
            <w:r w:rsidRPr="00C81156">
              <w:rPr>
                <w:color w:val="000000"/>
                <w:lang w:val="es-AR"/>
              </w:rPr>
              <w:t>b.-  En el caso de la cesión de cuotas onerosa la alícuota se aplicará sobre el patrimonio neto prorrateado de acuerdo a la cantidad de cuotas cedidas:</w:t>
            </w:r>
            <w:r w:rsidR="0096478B" w:rsidRPr="00C81156">
              <w:rPr>
                <w:color w:val="000000"/>
                <w:lang w:val="es-AR"/>
              </w:rPr>
              <w:t xml:space="preserve"> </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Con un mínimo de </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c- En las modificaciones de los contratos o estatutos sociales  por los que se cambie el nombre, prorrogue o se reconduzca el plazo  de la sociedad el impuesto se determinará sobre el patrimonio neto </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Con un mínimo de </w:t>
            </w:r>
          </w:p>
          <w:p w:rsidR="000736FA" w:rsidRPr="00C81156" w:rsidRDefault="000736FA" w:rsidP="000736FA">
            <w:pPr>
              <w:autoSpaceDE w:val="0"/>
              <w:autoSpaceDN w:val="0"/>
              <w:adjustRightInd w:val="0"/>
              <w:spacing w:line="360" w:lineRule="auto"/>
              <w:jc w:val="both"/>
              <w:rPr>
                <w:color w:val="000000"/>
                <w:lang w:val="es-AR"/>
              </w:rPr>
            </w:pPr>
          </w:p>
          <w:p w:rsidR="00177F02" w:rsidRDefault="000736FA" w:rsidP="000736FA">
            <w:pPr>
              <w:autoSpaceDE w:val="0"/>
              <w:autoSpaceDN w:val="0"/>
              <w:adjustRightInd w:val="0"/>
              <w:spacing w:line="360" w:lineRule="auto"/>
              <w:jc w:val="both"/>
              <w:rPr>
                <w:color w:val="000000"/>
                <w:lang w:val="es-AR"/>
              </w:rPr>
            </w:pPr>
            <w:r w:rsidRPr="00C81156">
              <w:rPr>
                <w:color w:val="000000"/>
                <w:lang w:val="es-AR"/>
              </w:rPr>
              <w:t xml:space="preserve">d- Si se trata de una escisión el impuesto se determinara de acuerdo al patrimonio neto  que se escinde </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Con un mínimo de </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e- Si se trata de una fusión el impuesto se determinara sobre el patrimonio neto resultante del acuerdo de fusión </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Con un mínimo de </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f- En el caso de disolución, liquidación y reducción de capital, de sociedades sin perjuicio del pago de impuestos que correspondan por las adjudicaciones que se realicen</w:t>
            </w:r>
          </w:p>
          <w:p w:rsidR="000736FA" w:rsidRPr="00C81156" w:rsidRDefault="000736FA" w:rsidP="000736FA">
            <w:pPr>
              <w:autoSpaceDE w:val="0"/>
              <w:autoSpaceDN w:val="0"/>
              <w:adjustRightInd w:val="0"/>
              <w:spacing w:line="360" w:lineRule="auto"/>
              <w:jc w:val="both"/>
              <w:rPr>
                <w:color w:val="000000"/>
                <w:lang w:val="es-AR"/>
              </w:rPr>
            </w:pPr>
          </w:p>
        </w:tc>
        <w:tc>
          <w:tcPr>
            <w:tcW w:w="982" w:type="dxa"/>
            <w:tcBorders>
              <w:top w:val="single" w:sz="4" w:space="0" w:color="auto"/>
              <w:left w:val="single" w:sz="8" w:space="0" w:color="000000"/>
              <w:bottom w:val="single" w:sz="4" w:space="0" w:color="auto"/>
              <w:right w:val="single" w:sz="8" w:space="0" w:color="000000"/>
            </w:tcBorders>
          </w:tcPr>
          <w:p w:rsidR="000736FA" w:rsidRPr="00C81156" w:rsidRDefault="000736FA" w:rsidP="000736FA">
            <w:pPr>
              <w:autoSpaceDE w:val="0"/>
              <w:autoSpaceDN w:val="0"/>
              <w:adjustRightInd w:val="0"/>
              <w:spacing w:line="360" w:lineRule="auto"/>
              <w:jc w:val="both"/>
              <w:rPr>
                <w:color w:val="000000"/>
                <w:lang w:val="es-AR"/>
              </w:rPr>
            </w:pPr>
          </w:p>
          <w:p w:rsidR="000736FA" w:rsidRDefault="000736FA" w:rsidP="000736FA">
            <w:pPr>
              <w:autoSpaceDE w:val="0"/>
              <w:autoSpaceDN w:val="0"/>
              <w:adjustRightInd w:val="0"/>
              <w:spacing w:line="360" w:lineRule="auto"/>
              <w:jc w:val="both"/>
              <w:rPr>
                <w:color w:val="000000"/>
                <w:lang w:val="es-AR"/>
              </w:rPr>
            </w:pPr>
          </w:p>
          <w:p w:rsidR="001A62C3" w:rsidRPr="00C81156" w:rsidRDefault="001A62C3"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$110</w:t>
            </w:r>
          </w:p>
        </w:tc>
        <w:tc>
          <w:tcPr>
            <w:tcW w:w="860" w:type="dxa"/>
            <w:tcBorders>
              <w:top w:val="single" w:sz="4" w:space="0" w:color="auto"/>
              <w:left w:val="nil"/>
              <w:bottom w:val="single" w:sz="4" w:space="0" w:color="auto"/>
              <w:right w:val="single" w:sz="8" w:space="0" w:color="000000"/>
            </w:tcBorders>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$110</w:t>
            </w:r>
          </w:p>
        </w:tc>
        <w:tc>
          <w:tcPr>
            <w:tcW w:w="860" w:type="dxa"/>
            <w:tcBorders>
              <w:top w:val="single" w:sz="4" w:space="0" w:color="auto"/>
              <w:left w:val="nil"/>
              <w:bottom w:val="single" w:sz="4" w:space="0" w:color="auto"/>
              <w:right w:val="single" w:sz="8" w:space="0" w:color="000000"/>
            </w:tcBorders>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$110</w:t>
            </w:r>
          </w:p>
        </w:tc>
        <w:tc>
          <w:tcPr>
            <w:tcW w:w="860" w:type="dxa"/>
            <w:tcBorders>
              <w:top w:val="single" w:sz="4" w:space="0" w:color="auto"/>
              <w:left w:val="nil"/>
              <w:bottom w:val="single" w:sz="4" w:space="0" w:color="auto"/>
              <w:right w:val="single" w:sz="8" w:space="0" w:color="000000"/>
            </w:tcBorders>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$140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$110</w:t>
            </w:r>
          </w:p>
          <w:p w:rsidR="000736FA" w:rsidRPr="00C81156" w:rsidRDefault="000736FA" w:rsidP="000736FA">
            <w:pPr>
              <w:autoSpaceDE w:val="0"/>
              <w:autoSpaceDN w:val="0"/>
              <w:adjustRightInd w:val="0"/>
              <w:spacing w:line="360" w:lineRule="auto"/>
              <w:jc w:val="both"/>
              <w:rPr>
                <w:color w:val="000000"/>
                <w:lang w:val="es-AR"/>
              </w:rPr>
            </w:pPr>
          </w:p>
        </w:tc>
        <w:tc>
          <w:tcPr>
            <w:tcW w:w="1116" w:type="dxa"/>
            <w:tcBorders>
              <w:top w:val="single" w:sz="4" w:space="0" w:color="auto"/>
              <w:left w:val="nil"/>
              <w:bottom w:val="single" w:sz="4" w:space="0" w:color="auto"/>
              <w:right w:val="single" w:sz="4" w:space="0" w:color="auto"/>
            </w:tcBorders>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C81156" w:rsidTr="000736FA">
        <w:trPr>
          <w:trHeight w:val="345"/>
        </w:trPr>
        <w:tc>
          <w:tcPr>
            <w:tcW w:w="5093" w:type="dxa"/>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25) Por cada copia de los actos, contratos u operaciones instrumentadas privadamente</w:t>
            </w:r>
          </w:p>
        </w:tc>
        <w:tc>
          <w:tcPr>
            <w:tcW w:w="982" w:type="dxa"/>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$30</w:t>
            </w:r>
          </w:p>
        </w:tc>
        <w:tc>
          <w:tcPr>
            <w:tcW w:w="860" w:type="dxa"/>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$30</w:t>
            </w:r>
          </w:p>
        </w:tc>
        <w:tc>
          <w:tcPr>
            <w:tcW w:w="860" w:type="dxa"/>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$30</w:t>
            </w:r>
          </w:p>
        </w:tc>
        <w:tc>
          <w:tcPr>
            <w:tcW w:w="860" w:type="dxa"/>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$30</w:t>
            </w:r>
          </w:p>
        </w:tc>
        <w:tc>
          <w:tcPr>
            <w:tcW w:w="1116" w:type="dxa"/>
            <w:tcBorders>
              <w:top w:val="single" w:sz="4" w:space="0" w:color="auto"/>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bl>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u w:val="single"/>
          <w:lang w:val="es-AR"/>
        </w:rPr>
      </w:pPr>
    </w:p>
    <w:p w:rsidR="000736FA" w:rsidRPr="00C81156" w:rsidRDefault="000736FA" w:rsidP="000736FA">
      <w:pPr>
        <w:autoSpaceDE w:val="0"/>
        <w:autoSpaceDN w:val="0"/>
        <w:adjustRightInd w:val="0"/>
        <w:spacing w:line="360" w:lineRule="auto"/>
        <w:jc w:val="both"/>
        <w:rPr>
          <w:color w:val="000000"/>
          <w:lang w:val="es-AR"/>
        </w:rPr>
      </w:pPr>
      <w:r w:rsidRPr="000D09FF">
        <w:rPr>
          <w:b/>
          <w:color w:val="000000"/>
          <w:u w:val="single"/>
          <w:lang w:val="es-AR"/>
        </w:rPr>
        <w:t>ARTICULO 3º</w:t>
      </w:r>
      <w:r w:rsidR="000D09FF">
        <w:rPr>
          <w:b/>
          <w:color w:val="000000"/>
          <w:lang w:val="es-AR"/>
        </w:rPr>
        <w:t>:</w:t>
      </w:r>
      <w:r w:rsidRPr="00C81156">
        <w:rPr>
          <w:color w:val="000000"/>
          <w:lang w:val="es-AR"/>
        </w:rPr>
        <w:t xml:space="preserve"> Sustitúyase el Artículo 13º de la Ley N° 9.622 y modificatorias (t.o. 2018) por el siguiente: </w:t>
      </w:r>
    </w:p>
    <w:p w:rsidR="000736FA" w:rsidRPr="000736FA" w:rsidRDefault="000736FA" w:rsidP="000736FA">
      <w:pPr>
        <w:autoSpaceDE w:val="0"/>
        <w:autoSpaceDN w:val="0"/>
        <w:adjustRightInd w:val="0"/>
        <w:spacing w:line="360" w:lineRule="auto"/>
        <w:jc w:val="both"/>
        <w:rPr>
          <w:b/>
          <w:color w:val="000000"/>
          <w:lang w:val="es-AR"/>
        </w:rPr>
      </w:pPr>
    </w:p>
    <w:p w:rsidR="000736FA" w:rsidRPr="000736FA" w:rsidRDefault="000736FA" w:rsidP="00C81156">
      <w:pPr>
        <w:autoSpaceDE w:val="0"/>
        <w:autoSpaceDN w:val="0"/>
        <w:adjustRightInd w:val="0"/>
        <w:spacing w:line="360" w:lineRule="auto"/>
        <w:jc w:val="center"/>
        <w:rPr>
          <w:b/>
          <w:color w:val="000000"/>
          <w:lang w:val="es-AR"/>
        </w:rPr>
      </w:pPr>
      <w:r w:rsidRPr="000736FA">
        <w:rPr>
          <w:b/>
          <w:color w:val="000000"/>
          <w:lang w:val="es-AR"/>
        </w:rPr>
        <w:t>ACTOS Y CONTRATOS SOBRE INMUEBLES</w:t>
      </w:r>
    </w:p>
    <w:p w:rsidR="000736FA" w:rsidRPr="000736FA" w:rsidRDefault="000736FA" w:rsidP="000736FA">
      <w:pPr>
        <w:autoSpaceDE w:val="0"/>
        <w:autoSpaceDN w:val="0"/>
        <w:adjustRightInd w:val="0"/>
        <w:spacing w:line="360" w:lineRule="auto"/>
        <w:jc w:val="both"/>
        <w:rPr>
          <w:b/>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0736FA">
        <w:rPr>
          <w:b/>
          <w:color w:val="000000"/>
          <w:lang w:val="es-AR"/>
        </w:rPr>
        <w:t>“</w:t>
      </w:r>
      <w:r w:rsidR="000D09FF">
        <w:rPr>
          <w:b/>
          <w:color w:val="000000"/>
          <w:u w:val="single"/>
          <w:lang w:val="es-AR"/>
        </w:rPr>
        <w:t>ARTICULO 13º:</w:t>
      </w:r>
      <w:r w:rsidRPr="000736FA">
        <w:rPr>
          <w:b/>
          <w:color w:val="000000"/>
          <w:lang w:val="es-AR"/>
        </w:rPr>
        <w:t xml:space="preserve"> </w:t>
      </w:r>
      <w:r w:rsidRPr="00C81156">
        <w:rPr>
          <w:color w:val="000000"/>
          <w:lang w:val="es-AR"/>
        </w:rPr>
        <w:t xml:space="preserve">Por los actos, contratos y operaciones que a continuación se enumeran se deberá pagar el impuesto que en cada caso se establece: </w:t>
      </w:r>
    </w:p>
    <w:p w:rsidR="000736FA" w:rsidRPr="000736FA" w:rsidRDefault="000736FA" w:rsidP="000736FA">
      <w:pPr>
        <w:autoSpaceDE w:val="0"/>
        <w:autoSpaceDN w:val="0"/>
        <w:adjustRightInd w:val="0"/>
        <w:spacing w:line="360" w:lineRule="auto"/>
        <w:jc w:val="both"/>
        <w:rPr>
          <w:b/>
          <w:color w:val="000000"/>
          <w:lang w:val="es-AR"/>
        </w:rPr>
      </w:pPr>
    </w:p>
    <w:tbl>
      <w:tblPr>
        <w:tblW w:w="9536" w:type="dxa"/>
        <w:tblInd w:w="70" w:type="dxa"/>
        <w:tblLayout w:type="fixed"/>
        <w:tblCellMar>
          <w:left w:w="70" w:type="dxa"/>
          <w:right w:w="70" w:type="dxa"/>
        </w:tblCellMar>
        <w:tblLook w:val="00A0" w:firstRow="1" w:lastRow="0" w:firstColumn="1" w:lastColumn="0" w:noHBand="0" w:noVBand="0"/>
      </w:tblPr>
      <w:tblGrid>
        <w:gridCol w:w="4962"/>
        <w:gridCol w:w="860"/>
        <w:gridCol w:w="860"/>
        <w:gridCol w:w="860"/>
        <w:gridCol w:w="860"/>
        <w:gridCol w:w="1134"/>
      </w:tblGrid>
      <w:tr w:rsidR="000736FA" w:rsidRPr="000736FA" w:rsidTr="000736FA">
        <w:trPr>
          <w:trHeight w:val="315"/>
        </w:trPr>
        <w:tc>
          <w:tcPr>
            <w:tcW w:w="4962" w:type="dxa"/>
            <w:tcBorders>
              <w:top w:val="single" w:sz="4" w:space="0" w:color="auto"/>
              <w:left w:val="single" w:sz="4" w:space="0" w:color="auto"/>
              <w:bottom w:val="single" w:sz="4" w:space="0" w:color="auto"/>
              <w:right w:val="single" w:sz="4" w:space="0" w:color="auto"/>
            </w:tcBorders>
            <w:noWrap/>
            <w:vAlign w:val="bottom"/>
          </w:tcPr>
          <w:p w:rsidR="000736FA" w:rsidRPr="000736FA" w:rsidRDefault="000736FA" w:rsidP="000736FA">
            <w:pPr>
              <w:autoSpaceDE w:val="0"/>
              <w:autoSpaceDN w:val="0"/>
              <w:adjustRightInd w:val="0"/>
              <w:spacing w:line="360" w:lineRule="auto"/>
              <w:jc w:val="both"/>
              <w:rPr>
                <w:b/>
                <w:bCs/>
                <w:color w:val="000000"/>
                <w:lang w:val="es-AR"/>
              </w:rPr>
            </w:pPr>
          </w:p>
          <w:p w:rsidR="000736FA" w:rsidRPr="000736FA" w:rsidRDefault="000736FA" w:rsidP="00C81156">
            <w:pPr>
              <w:autoSpaceDE w:val="0"/>
              <w:autoSpaceDN w:val="0"/>
              <w:adjustRightInd w:val="0"/>
              <w:spacing w:line="360" w:lineRule="auto"/>
              <w:jc w:val="center"/>
              <w:rPr>
                <w:b/>
                <w:bCs/>
                <w:color w:val="000000"/>
                <w:lang w:val="es-AR"/>
              </w:rPr>
            </w:pPr>
            <w:r w:rsidRPr="000736FA">
              <w:rPr>
                <w:b/>
                <w:bCs/>
                <w:color w:val="000000"/>
                <w:lang w:val="es-AR"/>
              </w:rPr>
              <w:t>ACTOS Y CONTRATOS SOBRE INMUEBLES</w:t>
            </w:r>
          </w:p>
          <w:p w:rsidR="000736FA" w:rsidRPr="000736FA" w:rsidRDefault="000736FA" w:rsidP="000736FA">
            <w:pPr>
              <w:autoSpaceDE w:val="0"/>
              <w:autoSpaceDN w:val="0"/>
              <w:adjustRightInd w:val="0"/>
              <w:spacing w:line="360" w:lineRule="auto"/>
              <w:jc w:val="both"/>
              <w:rPr>
                <w:b/>
                <w:bCs/>
                <w:color w:val="000000"/>
                <w:lang w:val="es-AR"/>
              </w:rPr>
            </w:pPr>
          </w:p>
        </w:tc>
        <w:tc>
          <w:tcPr>
            <w:tcW w:w="860" w:type="dxa"/>
            <w:tcBorders>
              <w:top w:val="single" w:sz="4" w:space="0" w:color="auto"/>
              <w:left w:val="single" w:sz="4" w:space="0" w:color="auto"/>
              <w:bottom w:val="single" w:sz="4" w:space="0" w:color="auto"/>
              <w:right w:val="single" w:sz="4"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2018 2019</w:t>
            </w:r>
          </w:p>
        </w:tc>
        <w:tc>
          <w:tcPr>
            <w:tcW w:w="860" w:type="dxa"/>
            <w:tcBorders>
              <w:top w:val="single" w:sz="4" w:space="0" w:color="auto"/>
              <w:left w:val="single" w:sz="4" w:space="0" w:color="auto"/>
              <w:bottom w:val="single" w:sz="4" w:space="0" w:color="auto"/>
              <w:right w:val="single" w:sz="4"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2020</w:t>
            </w:r>
          </w:p>
        </w:tc>
        <w:tc>
          <w:tcPr>
            <w:tcW w:w="860" w:type="dxa"/>
            <w:tcBorders>
              <w:top w:val="single" w:sz="4" w:space="0" w:color="auto"/>
              <w:left w:val="single" w:sz="4" w:space="0" w:color="auto"/>
              <w:bottom w:val="single" w:sz="4" w:space="0" w:color="auto"/>
              <w:right w:val="single" w:sz="4"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2021</w:t>
            </w:r>
          </w:p>
        </w:tc>
        <w:tc>
          <w:tcPr>
            <w:tcW w:w="860" w:type="dxa"/>
            <w:tcBorders>
              <w:top w:val="single" w:sz="4" w:space="0" w:color="auto"/>
              <w:left w:val="single" w:sz="4" w:space="0" w:color="auto"/>
              <w:bottom w:val="single" w:sz="4" w:space="0" w:color="auto"/>
              <w:right w:val="single" w:sz="4"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2022</w:t>
            </w:r>
          </w:p>
        </w:tc>
        <w:tc>
          <w:tcPr>
            <w:tcW w:w="1134" w:type="dxa"/>
            <w:tcBorders>
              <w:top w:val="single" w:sz="4" w:space="0" w:color="auto"/>
              <w:left w:val="single" w:sz="4" w:space="0" w:color="auto"/>
              <w:bottom w:val="single" w:sz="4" w:space="0" w:color="auto"/>
              <w:right w:val="single" w:sz="4"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2023</w:t>
            </w:r>
          </w:p>
        </w:tc>
      </w:tr>
      <w:tr w:rsidR="000736FA" w:rsidRPr="000736FA" w:rsidTr="000736FA">
        <w:trPr>
          <w:trHeight w:val="330"/>
        </w:trPr>
        <w:tc>
          <w:tcPr>
            <w:tcW w:w="4962" w:type="dxa"/>
            <w:tcBorders>
              <w:top w:val="single" w:sz="4" w:space="0" w:color="auto"/>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 Acciones y derechos: Cesión.</w:t>
            </w:r>
          </w:p>
        </w:tc>
        <w:tc>
          <w:tcPr>
            <w:tcW w:w="860" w:type="dxa"/>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34"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1335"/>
        </w:trPr>
        <w:tc>
          <w:tcPr>
            <w:tcW w:w="4962" w:type="dxa"/>
            <w:tcBorders>
              <w:top w:val="nil"/>
              <w:left w:val="single" w:sz="8" w:space="0" w:color="000000"/>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la cesión de acciones y derechos vinculados a inmuebles, derechos hereditarios y crédito</w:t>
            </w:r>
            <w:r w:rsidR="00486638">
              <w:rPr>
                <w:color w:val="000000"/>
                <w:lang w:val="es-AR"/>
              </w:rPr>
              <w:t>s hipotecarios.</w:t>
            </w: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p>
        </w:tc>
        <w:tc>
          <w:tcPr>
            <w:tcW w:w="860" w:type="dxa"/>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34"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330"/>
        </w:trPr>
        <w:tc>
          <w:tcPr>
            <w:tcW w:w="4962" w:type="dxa"/>
            <w:tcBorders>
              <w:top w:val="single" w:sz="4" w:space="0" w:color="auto"/>
              <w:left w:val="single" w:sz="4"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 Boletos de compraventa:</w:t>
            </w:r>
          </w:p>
          <w:p w:rsidR="000736FA" w:rsidRPr="00C81156" w:rsidRDefault="000736FA" w:rsidP="000736FA">
            <w:pPr>
              <w:autoSpaceDE w:val="0"/>
              <w:autoSpaceDN w:val="0"/>
              <w:adjustRightInd w:val="0"/>
              <w:spacing w:line="360" w:lineRule="auto"/>
              <w:jc w:val="both"/>
              <w:rPr>
                <w:color w:val="000000"/>
                <w:lang w:val="es-AR"/>
              </w:rPr>
            </w:pPr>
          </w:p>
        </w:tc>
        <w:tc>
          <w:tcPr>
            <w:tcW w:w="860" w:type="dxa"/>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34" w:type="dxa"/>
            <w:tcBorders>
              <w:top w:val="single" w:sz="4" w:space="0" w:color="auto"/>
              <w:left w:val="nil"/>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660"/>
        </w:trPr>
        <w:tc>
          <w:tcPr>
            <w:tcW w:w="4962" w:type="dxa"/>
            <w:tcBorders>
              <w:top w:val="nil"/>
              <w:left w:val="single" w:sz="4"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los boletos de compraventa de bi</w:t>
            </w:r>
            <w:r w:rsidR="00486638">
              <w:rPr>
                <w:color w:val="000000"/>
                <w:lang w:val="es-AR"/>
              </w:rPr>
              <w:t>enes inmuebles.</w:t>
            </w:r>
          </w:p>
        </w:tc>
        <w:tc>
          <w:tcPr>
            <w:tcW w:w="860" w:type="dxa"/>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34" w:type="dxa"/>
            <w:tcBorders>
              <w:top w:val="nil"/>
              <w:left w:val="nil"/>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330"/>
        </w:trPr>
        <w:tc>
          <w:tcPr>
            <w:tcW w:w="4962" w:type="dxa"/>
            <w:tcBorders>
              <w:top w:val="nil"/>
              <w:left w:val="single" w:sz="4"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Mínimo: Pesos Ciento Diez</w:t>
            </w:r>
          </w:p>
        </w:tc>
        <w:tc>
          <w:tcPr>
            <w:tcW w:w="860" w:type="dxa"/>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1134" w:type="dxa"/>
            <w:tcBorders>
              <w:top w:val="nil"/>
              <w:left w:val="nil"/>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1005"/>
        </w:trPr>
        <w:tc>
          <w:tcPr>
            <w:tcW w:w="4962" w:type="dxa"/>
            <w:tcBorders>
              <w:top w:val="nil"/>
              <w:left w:val="single" w:sz="4" w:space="0" w:color="auto"/>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El importe abonado será deducible del impuesto correspondiente a la transmisión del dominio.</w:t>
            </w:r>
          </w:p>
          <w:p w:rsidR="000736FA" w:rsidRPr="00C81156" w:rsidRDefault="000736FA" w:rsidP="000736FA">
            <w:pPr>
              <w:autoSpaceDE w:val="0"/>
              <w:autoSpaceDN w:val="0"/>
              <w:adjustRightInd w:val="0"/>
              <w:spacing w:line="360" w:lineRule="auto"/>
              <w:jc w:val="both"/>
              <w:rPr>
                <w:color w:val="000000"/>
                <w:lang w:val="es-AR"/>
              </w:rPr>
            </w:pPr>
          </w:p>
        </w:tc>
        <w:tc>
          <w:tcPr>
            <w:tcW w:w="860" w:type="dxa"/>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34" w:type="dxa"/>
            <w:tcBorders>
              <w:top w:val="nil"/>
              <w:left w:val="nil"/>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330"/>
        </w:trPr>
        <w:tc>
          <w:tcPr>
            <w:tcW w:w="4962" w:type="dxa"/>
            <w:tcBorders>
              <w:top w:val="single" w:sz="4" w:space="0" w:color="auto"/>
              <w:left w:val="single" w:sz="4" w:space="0" w:color="auto"/>
              <w:bottom w:val="nil"/>
              <w:right w:val="single" w:sz="4" w:space="0" w:color="auto"/>
            </w:tcBorders>
            <w:vAlign w:val="center"/>
          </w:tcPr>
          <w:p w:rsidR="000736FA" w:rsidRDefault="000736FA" w:rsidP="000736FA">
            <w:pPr>
              <w:autoSpaceDE w:val="0"/>
              <w:autoSpaceDN w:val="0"/>
              <w:adjustRightInd w:val="0"/>
              <w:spacing w:line="360" w:lineRule="auto"/>
              <w:jc w:val="both"/>
              <w:rPr>
                <w:color w:val="000000"/>
                <w:lang w:val="es-AR"/>
              </w:rPr>
            </w:pPr>
          </w:p>
          <w:p w:rsidR="00177F02" w:rsidRPr="00C81156" w:rsidRDefault="00177F02"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 Cancelaciones:</w:t>
            </w:r>
          </w:p>
          <w:p w:rsidR="000736FA" w:rsidRPr="00C81156" w:rsidRDefault="000736FA" w:rsidP="000736FA">
            <w:pPr>
              <w:autoSpaceDE w:val="0"/>
              <w:autoSpaceDN w:val="0"/>
              <w:adjustRightInd w:val="0"/>
              <w:spacing w:line="360" w:lineRule="auto"/>
              <w:jc w:val="both"/>
              <w:rPr>
                <w:color w:val="000000"/>
                <w:lang w:val="es-AR"/>
              </w:rPr>
            </w:pPr>
          </w:p>
        </w:tc>
        <w:tc>
          <w:tcPr>
            <w:tcW w:w="860" w:type="dxa"/>
            <w:tcBorders>
              <w:top w:val="single" w:sz="4" w:space="0" w:color="auto"/>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single" w:sz="4" w:space="0" w:color="auto"/>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34" w:type="dxa"/>
            <w:tcBorders>
              <w:top w:val="single" w:sz="4" w:space="0" w:color="auto"/>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660"/>
        </w:trPr>
        <w:tc>
          <w:tcPr>
            <w:tcW w:w="4962"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la cancelación total o parcial de cualquier derecho real:</w:t>
            </w:r>
          </w:p>
          <w:p w:rsidR="000736FA" w:rsidRPr="00C81156" w:rsidRDefault="000736FA" w:rsidP="000736FA">
            <w:pPr>
              <w:autoSpaceDE w:val="0"/>
              <w:autoSpaceDN w:val="0"/>
              <w:adjustRightInd w:val="0"/>
              <w:spacing w:line="360" w:lineRule="auto"/>
              <w:jc w:val="both"/>
              <w:rPr>
                <w:color w:val="000000"/>
                <w:lang w:val="es-AR"/>
              </w:rPr>
            </w:pPr>
          </w:p>
        </w:tc>
        <w:tc>
          <w:tcPr>
            <w:tcW w:w="860"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34" w:type="dxa"/>
            <w:tcBorders>
              <w:top w:val="nil"/>
              <w:left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990"/>
        </w:trPr>
        <w:tc>
          <w:tcPr>
            <w:tcW w:w="4962"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a) Cuando su monto es determinado</w:t>
            </w:r>
            <w:r w:rsidR="00486638">
              <w:rPr>
                <w:color w:val="000000"/>
                <w:lang w:val="es-AR"/>
              </w:rPr>
              <w:t xml:space="preserve"> o determinable</w:t>
            </w:r>
            <w:r w:rsidRPr="00C81156">
              <w:rPr>
                <w:color w:val="000000"/>
                <w:lang w:val="es-AR"/>
              </w:rPr>
              <w:t>.</w:t>
            </w:r>
          </w:p>
        </w:tc>
        <w:tc>
          <w:tcPr>
            <w:tcW w:w="860"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0,40%</w:t>
            </w:r>
          </w:p>
        </w:tc>
        <w:tc>
          <w:tcPr>
            <w:tcW w:w="860"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0,40%</w:t>
            </w:r>
          </w:p>
        </w:tc>
        <w:tc>
          <w:tcPr>
            <w:tcW w:w="860"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0,40%</w:t>
            </w:r>
          </w:p>
        </w:tc>
        <w:tc>
          <w:tcPr>
            <w:tcW w:w="860"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34" w:type="dxa"/>
            <w:tcBorders>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330"/>
        </w:trPr>
        <w:tc>
          <w:tcPr>
            <w:tcW w:w="4962"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Mínimo de:</w:t>
            </w:r>
          </w:p>
        </w:tc>
        <w:tc>
          <w:tcPr>
            <w:tcW w:w="860"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1134" w:type="dxa"/>
            <w:tcBorders>
              <w:top w:val="nil"/>
              <w:left w:val="single" w:sz="4" w:space="0" w:color="auto"/>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1005"/>
        </w:trPr>
        <w:tc>
          <w:tcPr>
            <w:tcW w:w="4962" w:type="dxa"/>
            <w:tcBorders>
              <w:top w:val="nil"/>
              <w:left w:val="single" w:sz="4" w:space="0" w:color="auto"/>
              <w:bottom w:val="single" w:sz="4" w:space="0" w:color="auto"/>
              <w:right w:val="single" w:sz="4" w:space="0" w:color="auto"/>
            </w:tcBorders>
            <w:vAlign w:val="center"/>
          </w:tcPr>
          <w:p w:rsidR="000736FA" w:rsidRPr="00C81156" w:rsidRDefault="00486638" w:rsidP="000736FA">
            <w:pPr>
              <w:autoSpaceDE w:val="0"/>
              <w:autoSpaceDN w:val="0"/>
              <w:adjustRightInd w:val="0"/>
              <w:spacing w:line="360" w:lineRule="auto"/>
              <w:jc w:val="both"/>
              <w:rPr>
                <w:color w:val="000000"/>
                <w:lang w:val="es-AR"/>
              </w:rPr>
            </w:pPr>
            <w:r>
              <w:rPr>
                <w:color w:val="000000"/>
                <w:lang w:val="es-AR"/>
              </w:rPr>
              <w:t xml:space="preserve">b)Cuando su </w:t>
            </w:r>
            <w:r w:rsidR="000736FA" w:rsidRPr="00C81156">
              <w:rPr>
                <w:color w:val="000000"/>
                <w:lang w:val="es-AR"/>
              </w:rPr>
              <w:t>monto no es determinado o determinable:</w:t>
            </w:r>
          </w:p>
        </w:tc>
        <w:tc>
          <w:tcPr>
            <w:tcW w:w="860" w:type="dxa"/>
            <w:tcBorders>
              <w:top w:val="nil"/>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60" w:type="dxa"/>
            <w:tcBorders>
              <w:top w:val="nil"/>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1134" w:type="dxa"/>
            <w:tcBorders>
              <w:top w:val="nil"/>
              <w:left w:val="single" w:sz="4" w:space="0" w:color="auto"/>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330"/>
        </w:trPr>
        <w:tc>
          <w:tcPr>
            <w:tcW w:w="4962" w:type="dxa"/>
            <w:tcBorders>
              <w:top w:val="single" w:sz="4" w:space="0" w:color="auto"/>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4) Derechos reales:</w:t>
            </w:r>
          </w:p>
        </w:tc>
        <w:tc>
          <w:tcPr>
            <w:tcW w:w="860" w:type="dxa"/>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34"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1335"/>
        </w:trPr>
        <w:tc>
          <w:tcPr>
            <w:tcW w:w="4962" w:type="dxa"/>
            <w:tcBorders>
              <w:top w:val="nil"/>
              <w:left w:val="single" w:sz="8" w:space="0" w:color="000000"/>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las escrituras públicas en las que se constituyan, prorroguen, reformulen o amplíen derechos  reales  sobre inmuebles</w:t>
            </w:r>
          </w:p>
          <w:p w:rsidR="000736FA" w:rsidRPr="00C81156" w:rsidRDefault="000736FA" w:rsidP="000736FA">
            <w:pPr>
              <w:autoSpaceDE w:val="0"/>
              <w:autoSpaceDN w:val="0"/>
              <w:adjustRightInd w:val="0"/>
              <w:spacing w:line="360" w:lineRule="auto"/>
              <w:jc w:val="both"/>
              <w:rPr>
                <w:color w:val="000000"/>
                <w:lang w:val="es-AR"/>
              </w:rPr>
            </w:pPr>
          </w:p>
        </w:tc>
        <w:tc>
          <w:tcPr>
            <w:tcW w:w="860" w:type="dxa"/>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34"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330"/>
        </w:trPr>
        <w:tc>
          <w:tcPr>
            <w:tcW w:w="4962" w:type="dxa"/>
            <w:tcBorders>
              <w:top w:val="nil"/>
              <w:left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5) Dominio:</w:t>
            </w:r>
          </w:p>
        </w:tc>
        <w:tc>
          <w:tcPr>
            <w:tcW w:w="860" w:type="dxa"/>
            <w:tcBorders>
              <w:top w:val="nil"/>
              <w:left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single" w:sz="8" w:space="0" w:color="000000"/>
              <w:left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8" w:space="0" w:color="000000"/>
              <w:left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8" w:space="0" w:color="000000"/>
              <w:left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34" w:type="dxa"/>
            <w:tcBorders>
              <w:top w:val="single" w:sz="8" w:space="0" w:color="000000"/>
              <w:left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1320"/>
        </w:trPr>
        <w:tc>
          <w:tcPr>
            <w:tcW w:w="4962" w:type="dxa"/>
            <w:tcBorders>
              <w:top w:val="nil"/>
              <w:left w:val="single" w:sz="8" w:space="0" w:color="000000"/>
              <w:bottom w:val="single" w:sz="4" w:space="0" w:color="auto"/>
              <w:right w:val="nil"/>
            </w:tcBorders>
            <w:vAlign w:val="center"/>
          </w:tcPr>
          <w:p w:rsidR="000736FA" w:rsidRPr="00C81156" w:rsidRDefault="000736FA" w:rsidP="00486638">
            <w:pPr>
              <w:autoSpaceDE w:val="0"/>
              <w:autoSpaceDN w:val="0"/>
              <w:adjustRightInd w:val="0"/>
              <w:spacing w:line="360" w:lineRule="auto"/>
              <w:jc w:val="both"/>
              <w:rPr>
                <w:color w:val="000000"/>
                <w:lang w:val="es-AR"/>
              </w:rPr>
            </w:pPr>
            <w:r w:rsidRPr="00C81156">
              <w:rPr>
                <w:color w:val="000000"/>
                <w:lang w:val="es-AR"/>
              </w:rPr>
              <w:t xml:space="preserve">    a)Por las escrituras públicas y demás actos </w:t>
            </w:r>
            <w:r w:rsidR="00486638">
              <w:rPr>
                <w:color w:val="000000"/>
                <w:lang w:val="es-AR"/>
              </w:rPr>
              <w:t xml:space="preserve">por los que se transfiere el </w:t>
            </w:r>
            <w:r w:rsidRPr="00C81156">
              <w:rPr>
                <w:color w:val="000000"/>
                <w:lang w:val="es-AR"/>
              </w:rPr>
              <w:t>dominio de inmuebles</w:t>
            </w:r>
          </w:p>
        </w:tc>
        <w:tc>
          <w:tcPr>
            <w:tcW w:w="860" w:type="dxa"/>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2,30%</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2,30%</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2,30%</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2,30%</w:t>
            </w:r>
          </w:p>
        </w:tc>
        <w:tc>
          <w:tcPr>
            <w:tcW w:w="1134"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2,30%</w:t>
            </w:r>
          </w:p>
        </w:tc>
      </w:tr>
      <w:tr w:rsidR="000736FA" w:rsidRPr="000736FA" w:rsidTr="000736FA">
        <w:trPr>
          <w:trHeight w:val="3960"/>
        </w:trPr>
        <w:tc>
          <w:tcPr>
            <w:tcW w:w="4962" w:type="dxa"/>
            <w:tcBorders>
              <w:top w:val="single" w:sz="4" w:space="0" w:color="auto"/>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Cuando se dispongan nuevas actualizaciones a las valuaciones   fiscales conforme lo establecido por el Artículo 13º del Decreto Ley  Nº 6426, prorrogado por la  Ley Nº 7516, cuya entrada en vigencia no coincida con la de la Ley Impositiva del año para el cual aquellas se establecen, el Poder Ejecutivo  arbitrará los medios para mantener el nivel de imposición que surja de la aplicación de este Inciso y del Artículo 238º del Código Fiscal </w:t>
            </w:r>
          </w:p>
        </w:tc>
        <w:tc>
          <w:tcPr>
            <w:tcW w:w="860" w:type="dxa"/>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34"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990"/>
        </w:trPr>
        <w:tc>
          <w:tcPr>
            <w:tcW w:w="4962" w:type="dxa"/>
            <w:tcBorders>
              <w:top w:val="nil"/>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b)Por las adquisiciones del dominio, como consecuencia de juicios de prescripción</w:t>
            </w:r>
          </w:p>
        </w:tc>
        <w:tc>
          <w:tcPr>
            <w:tcW w:w="860" w:type="dxa"/>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w:t>
            </w:r>
          </w:p>
        </w:tc>
        <w:tc>
          <w:tcPr>
            <w:tcW w:w="1134"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w:t>
            </w:r>
          </w:p>
        </w:tc>
      </w:tr>
      <w:tr w:rsidR="000736FA" w:rsidRPr="000736FA" w:rsidTr="000736FA">
        <w:trPr>
          <w:trHeight w:val="990"/>
        </w:trPr>
        <w:tc>
          <w:tcPr>
            <w:tcW w:w="4962" w:type="dxa"/>
            <w:tcBorders>
              <w:top w:val="nil"/>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c)Por la división de condominio</w:t>
            </w:r>
          </w:p>
        </w:tc>
        <w:tc>
          <w:tcPr>
            <w:tcW w:w="860" w:type="dxa"/>
            <w:tcBorders>
              <w:top w:val="nil"/>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0,30%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0,30%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0,30%</w:t>
            </w:r>
          </w:p>
        </w:tc>
        <w:tc>
          <w:tcPr>
            <w:tcW w:w="86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0,30%</w:t>
            </w:r>
          </w:p>
        </w:tc>
        <w:tc>
          <w:tcPr>
            <w:tcW w:w="1134"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0,30%</w:t>
            </w:r>
          </w:p>
        </w:tc>
      </w:tr>
      <w:tr w:rsidR="000736FA" w:rsidRPr="000736FA" w:rsidTr="000736FA">
        <w:trPr>
          <w:trHeight w:val="1665"/>
        </w:trPr>
        <w:tc>
          <w:tcPr>
            <w:tcW w:w="4962" w:type="dxa"/>
            <w:tcBorders>
              <w:top w:val="nil"/>
              <w:left w:val="single" w:sz="8" w:space="0" w:color="000000"/>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d)Por operaciones que se refieren a la adquisición, modificación o transferencia de derechos sobre terreno para bóvedas y panteones en los cementerios</w:t>
            </w:r>
          </w:p>
        </w:tc>
        <w:tc>
          <w:tcPr>
            <w:tcW w:w="860" w:type="dxa"/>
            <w:tcBorders>
              <w:top w:val="nil"/>
              <w:left w:val="single" w:sz="8" w:space="0" w:color="000000"/>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60"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1134" w:type="dxa"/>
            <w:tcBorders>
              <w:top w:val="nil"/>
              <w:left w:val="nil"/>
              <w:bottom w:val="single" w:sz="4" w:space="0" w:color="auto"/>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r>
      <w:tr w:rsidR="000736FA" w:rsidRPr="000736FA" w:rsidTr="000736FA">
        <w:trPr>
          <w:trHeight w:val="330"/>
        </w:trPr>
        <w:tc>
          <w:tcPr>
            <w:tcW w:w="4962" w:type="dxa"/>
            <w:tcBorders>
              <w:top w:val="single" w:sz="4" w:space="0" w:color="auto"/>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6) Propiedad Horizontal:</w:t>
            </w:r>
          </w:p>
        </w:tc>
        <w:tc>
          <w:tcPr>
            <w:tcW w:w="860" w:type="dxa"/>
            <w:tcBorders>
              <w:top w:val="single" w:sz="4" w:space="0" w:color="auto"/>
              <w:left w:val="single" w:sz="8" w:space="0" w:color="000000"/>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6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34"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1005"/>
        </w:trPr>
        <w:tc>
          <w:tcPr>
            <w:tcW w:w="4962" w:type="dxa"/>
            <w:tcBorders>
              <w:top w:val="nil"/>
              <w:left w:val="single" w:sz="8" w:space="0" w:color="000000"/>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los contratos de copropiedad, sin perjuicio de la locación de servicios</w:t>
            </w:r>
          </w:p>
        </w:tc>
        <w:tc>
          <w:tcPr>
            <w:tcW w:w="860" w:type="dxa"/>
            <w:tcBorders>
              <w:top w:val="nil"/>
              <w:left w:val="single" w:sz="8" w:space="0" w:color="000000"/>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$ 560</w:t>
            </w:r>
          </w:p>
        </w:tc>
        <w:tc>
          <w:tcPr>
            <w:tcW w:w="86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$ 560</w:t>
            </w:r>
          </w:p>
        </w:tc>
        <w:tc>
          <w:tcPr>
            <w:tcW w:w="86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$ 560</w:t>
            </w:r>
          </w:p>
        </w:tc>
        <w:tc>
          <w:tcPr>
            <w:tcW w:w="86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$ 560</w:t>
            </w:r>
          </w:p>
        </w:tc>
        <w:tc>
          <w:tcPr>
            <w:tcW w:w="1134"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bl>
    <w:p w:rsidR="000736FA" w:rsidRPr="000736FA" w:rsidRDefault="000736FA" w:rsidP="000736FA">
      <w:pPr>
        <w:autoSpaceDE w:val="0"/>
        <w:autoSpaceDN w:val="0"/>
        <w:adjustRightInd w:val="0"/>
        <w:spacing w:line="360" w:lineRule="auto"/>
        <w:jc w:val="both"/>
        <w:rPr>
          <w:b/>
          <w:color w:val="000000"/>
          <w:u w:val="single"/>
          <w:lang w:val="es-AR"/>
        </w:rPr>
      </w:pPr>
    </w:p>
    <w:p w:rsidR="000736FA" w:rsidRPr="00C81156" w:rsidRDefault="000736FA" w:rsidP="000736FA">
      <w:pPr>
        <w:autoSpaceDE w:val="0"/>
        <w:autoSpaceDN w:val="0"/>
        <w:adjustRightInd w:val="0"/>
        <w:spacing w:line="360" w:lineRule="auto"/>
        <w:jc w:val="both"/>
        <w:rPr>
          <w:color w:val="000000"/>
          <w:lang w:val="es-ES"/>
        </w:rPr>
      </w:pPr>
      <w:r w:rsidRPr="00C81156">
        <w:rPr>
          <w:color w:val="000000"/>
          <w:lang w:val="es-ES"/>
        </w:rPr>
        <w:t>Establécese en 2 (dos) puntos el coeficiente corrector para los inmuebles pertenecientes a la Planta Urbana, Subrural y Rural de la Provincia, previsto en el artículo 209° y siguientes del CAPITULO III del Código Fiscal y modificatorias. Se faculta a la Administradora a establecer, sobre la base de los informes elaborados a tal fin por la Dirección de Catastro, un nuevo coeficiente corrector el cual podría diferir para los inmuebles pertenecientes a cada uno de los tipos de Plantas definidas.</w:t>
      </w:r>
    </w:p>
    <w:p w:rsidR="000736FA" w:rsidRPr="00C81156" w:rsidRDefault="000736FA" w:rsidP="000736FA">
      <w:pPr>
        <w:autoSpaceDE w:val="0"/>
        <w:autoSpaceDN w:val="0"/>
        <w:adjustRightInd w:val="0"/>
        <w:spacing w:line="360" w:lineRule="auto"/>
        <w:jc w:val="both"/>
        <w:rPr>
          <w:color w:val="000000"/>
          <w:lang w:val="es-ES"/>
        </w:rPr>
      </w:pPr>
      <w:r w:rsidRPr="00C81156">
        <w:rPr>
          <w:color w:val="000000"/>
          <w:lang w:val="es-ES"/>
        </w:rPr>
        <w:t xml:space="preserve"> </w:t>
      </w:r>
    </w:p>
    <w:p w:rsidR="000736FA" w:rsidRPr="00C81156" w:rsidRDefault="000736FA" w:rsidP="000736FA">
      <w:pPr>
        <w:autoSpaceDE w:val="0"/>
        <w:autoSpaceDN w:val="0"/>
        <w:adjustRightInd w:val="0"/>
        <w:spacing w:line="360" w:lineRule="auto"/>
        <w:jc w:val="both"/>
        <w:rPr>
          <w:color w:val="000000"/>
          <w:lang w:val="es-AR"/>
        </w:rPr>
      </w:pPr>
      <w:r w:rsidRPr="000736FA">
        <w:rPr>
          <w:b/>
          <w:color w:val="000000"/>
          <w:u w:val="single"/>
          <w:lang w:val="es-AR"/>
        </w:rPr>
        <w:t>ARTICULO 4º</w:t>
      </w:r>
      <w:r w:rsidR="000D09FF">
        <w:rPr>
          <w:b/>
          <w:color w:val="000000"/>
          <w:lang w:val="es-AR"/>
        </w:rPr>
        <w:t>:</w:t>
      </w:r>
      <w:r w:rsidRPr="000736FA">
        <w:rPr>
          <w:b/>
          <w:color w:val="000000"/>
          <w:lang w:val="es-AR"/>
        </w:rPr>
        <w:t xml:space="preserve"> </w:t>
      </w:r>
      <w:r w:rsidRPr="00C81156">
        <w:rPr>
          <w:color w:val="000000"/>
          <w:lang w:val="es-AR"/>
        </w:rPr>
        <w:t xml:space="preserve">Sustitúyase el Artículo 14º de la Ley N° 9.622 y modificatorias (t.o. 2018) por el siguiente: </w:t>
      </w:r>
    </w:p>
    <w:p w:rsidR="000736FA" w:rsidRPr="000736FA" w:rsidRDefault="000736FA" w:rsidP="000736FA">
      <w:pPr>
        <w:autoSpaceDE w:val="0"/>
        <w:autoSpaceDN w:val="0"/>
        <w:adjustRightInd w:val="0"/>
        <w:spacing w:line="360" w:lineRule="auto"/>
        <w:jc w:val="both"/>
        <w:rPr>
          <w:b/>
          <w:color w:val="000000"/>
          <w:lang w:val="es-AR"/>
        </w:rPr>
      </w:pPr>
    </w:p>
    <w:p w:rsidR="000736FA" w:rsidRDefault="000736FA" w:rsidP="00C81156">
      <w:pPr>
        <w:autoSpaceDE w:val="0"/>
        <w:autoSpaceDN w:val="0"/>
        <w:adjustRightInd w:val="0"/>
        <w:spacing w:line="360" w:lineRule="auto"/>
        <w:jc w:val="center"/>
        <w:rPr>
          <w:b/>
          <w:color w:val="000000"/>
          <w:lang w:val="es-AR"/>
        </w:rPr>
      </w:pPr>
      <w:r w:rsidRPr="000736FA">
        <w:rPr>
          <w:b/>
          <w:color w:val="000000"/>
          <w:lang w:val="es-AR"/>
        </w:rPr>
        <w:t>OPERACIONES DE TIPO COMERCIAL Y BANCARIOS</w:t>
      </w:r>
    </w:p>
    <w:p w:rsidR="00C81156" w:rsidRPr="000736FA" w:rsidRDefault="00C81156" w:rsidP="00C81156">
      <w:pPr>
        <w:autoSpaceDE w:val="0"/>
        <w:autoSpaceDN w:val="0"/>
        <w:adjustRightInd w:val="0"/>
        <w:spacing w:line="360" w:lineRule="auto"/>
        <w:jc w:val="center"/>
        <w:rPr>
          <w:b/>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0736FA">
        <w:rPr>
          <w:b/>
          <w:color w:val="000000"/>
          <w:lang w:val="es-AR"/>
        </w:rPr>
        <w:t>“</w:t>
      </w:r>
      <w:r w:rsidR="000D09FF">
        <w:rPr>
          <w:b/>
          <w:color w:val="000000"/>
          <w:u w:val="single"/>
          <w:lang w:val="es-AR"/>
        </w:rPr>
        <w:t>ARTICULO 14º:</w:t>
      </w:r>
      <w:r w:rsidRPr="000736FA">
        <w:rPr>
          <w:b/>
          <w:color w:val="000000"/>
          <w:lang w:val="es-AR"/>
        </w:rPr>
        <w:t xml:space="preserve"> </w:t>
      </w:r>
      <w:r w:rsidRPr="00C81156">
        <w:rPr>
          <w:color w:val="000000"/>
          <w:lang w:val="es-AR"/>
        </w:rPr>
        <w:t xml:space="preserve">Por los actos, contratos y operaciones que a continuación se enumeran se deberá pagar el impuesto que en cada caso se establece: </w:t>
      </w:r>
    </w:p>
    <w:p w:rsidR="000736FA" w:rsidRPr="000736FA" w:rsidRDefault="000736FA" w:rsidP="000736FA">
      <w:pPr>
        <w:autoSpaceDE w:val="0"/>
        <w:autoSpaceDN w:val="0"/>
        <w:adjustRightInd w:val="0"/>
        <w:spacing w:line="360" w:lineRule="auto"/>
        <w:jc w:val="both"/>
        <w:rPr>
          <w:b/>
          <w:color w:val="000000"/>
          <w:u w:val="single"/>
          <w:lang w:val="es-AR"/>
        </w:rPr>
      </w:pPr>
    </w:p>
    <w:tbl>
      <w:tblPr>
        <w:tblW w:w="9836" w:type="dxa"/>
        <w:tblInd w:w="80" w:type="dxa"/>
        <w:tblLayout w:type="fixed"/>
        <w:tblCellMar>
          <w:left w:w="70" w:type="dxa"/>
          <w:right w:w="70" w:type="dxa"/>
        </w:tblCellMar>
        <w:tblLook w:val="00A0" w:firstRow="1" w:lastRow="0" w:firstColumn="1" w:lastColumn="0" w:noHBand="0" w:noVBand="0"/>
      </w:tblPr>
      <w:tblGrid>
        <w:gridCol w:w="5228"/>
        <w:gridCol w:w="872"/>
        <w:gridCol w:w="872"/>
        <w:gridCol w:w="872"/>
        <w:gridCol w:w="872"/>
        <w:gridCol w:w="1120"/>
      </w:tblGrid>
      <w:tr w:rsidR="000736FA" w:rsidRPr="000736FA" w:rsidTr="000736FA">
        <w:trPr>
          <w:trHeight w:val="600"/>
        </w:trPr>
        <w:tc>
          <w:tcPr>
            <w:tcW w:w="5228" w:type="dxa"/>
            <w:tcBorders>
              <w:top w:val="single" w:sz="8" w:space="0" w:color="auto"/>
              <w:left w:val="single" w:sz="8" w:space="0" w:color="auto"/>
              <w:bottom w:val="single" w:sz="8" w:space="0" w:color="auto"/>
              <w:right w:val="nil"/>
            </w:tcBorders>
            <w:vAlign w:val="bottom"/>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OPERACIONES DE TIPO COMERCIAL O BANCARIO</w:t>
            </w:r>
          </w:p>
        </w:tc>
        <w:tc>
          <w:tcPr>
            <w:tcW w:w="872" w:type="dxa"/>
            <w:tcBorders>
              <w:top w:val="single" w:sz="8" w:space="0" w:color="auto"/>
              <w:left w:val="single" w:sz="8" w:space="0" w:color="auto"/>
              <w:bottom w:val="single" w:sz="8" w:space="0" w:color="auto"/>
              <w:right w:val="single" w:sz="8"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2018 2019</w:t>
            </w:r>
          </w:p>
        </w:tc>
        <w:tc>
          <w:tcPr>
            <w:tcW w:w="872" w:type="dxa"/>
            <w:tcBorders>
              <w:top w:val="single" w:sz="8" w:space="0" w:color="auto"/>
              <w:left w:val="nil"/>
              <w:bottom w:val="single" w:sz="8" w:space="0" w:color="auto"/>
              <w:right w:val="single" w:sz="8"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2020</w:t>
            </w:r>
          </w:p>
        </w:tc>
        <w:tc>
          <w:tcPr>
            <w:tcW w:w="872" w:type="dxa"/>
            <w:tcBorders>
              <w:top w:val="single" w:sz="8" w:space="0" w:color="auto"/>
              <w:left w:val="nil"/>
              <w:bottom w:val="single" w:sz="8" w:space="0" w:color="auto"/>
              <w:right w:val="single" w:sz="8"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2021</w:t>
            </w:r>
          </w:p>
        </w:tc>
        <w:tc>
          <w:tcPr>
            <w:tcW w:w="872" w:type="dxa"/>
            <w:tcBorders>
              <w:top w:val="single" w:sz="8" w:space="0" w:color="auto"/>
              <w:left w:val="nil"/>
              <w:bottom w:val="single" w:sz="8" w:space="0" w:color="auto"/>
              <w:right w:val="single" w:sz="8"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2022</w:t>
            </w:r>
          </w:p>
        </w:tc>
        <w:tc>
          <w:tcPr>
            <w:tcW w:w="1120" w:type="dxa"/>
            <w:tcBorders>
              <w:top w:val="single" w:sz="8" w:space="0" w:color="auto"/>
              <w:left w:val="nil"/>
              <w:bottom w:val="single" w:sz="8" w:space="0" w:color="auto"/>
              <w:right w:val="single" w:sz="8" w:space="0" w:color="auto"/>
            </w:tcBorders>
            <w:noWrap/>
            <w:vAlign w:val="center"/>
          </w:tcPr>
          <w:p w:rsidR="000736FA" w:rsidRPr="000736FA" w:rsidRDefault="000736FA" w:rsidP="000736FA">
            <w:pPr>
              <w:autoSpaceDE w:val="0"/>
              <w:autoSpaceDN w:val="0"/>
              <w:adjustRightInd w:val="0"/>
              <w:spacing w:line="360" w:lineRule="auto"/>
              <w:jc w:val="both"/>
              <w:rPr>
                <w:b/>
                <w:bCs/>
                <w:color w:val="000000"/>
                <w:lang w:val="es-AR"/>
              </w:rPr>
            </w:pPr>
            <w:r w:rsidRPr="000736FA">
              <w:rPr>
                <w:b/>
                <w:bCs/>
                <w:color w:val="000000"/>
                <w:lang w:val="es-AR"/>
              </w:rPr>
              <w:t>2023</w:t>
            </w:r>
          </w:p>
        </w:tc>
      </w:tr>
      <w:tr w:rsidR="000736FA" w:rsidRPr="000736FA" w:rsidTr="000736FA">
        <w:trPr>
          <w:trHeight w:val="345"/>
        </w:trPr>
        <w:tc>
          <w:tcPr>
            <w:tcW w:w="5228" w:type="dxa"/>
            <w:tcBorders>
              <w:top w:val="nil"/>
              <w:left w:val="single" w:sz="8"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 Adelantos en cuenta corriente:</w:t>
            </w: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6%</w:t>
            </w: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20" w:type="dxa"/>
            <w:vMerge w:val="restart"/>
            <w:tcBorders>
              <w:top w:val="nil"/>
              <w:left w:val="nil"/>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675"/>
        </w:trPr>
        <w:tc>
          <w:tcPr>
            <w:tcW w:w="5228" w:type="dxa"/>
            <w:tcBorders>
              <w:top w:val="nil"/>
              <w:left w:val="single" w:sz="8" w:space="0" w:color="auto"/>
              <w:bottom w:val="single" w:sz="8"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los adelantos  en cuenta corriente</w:t>
            </w: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20" w:type="dxa"/>
            <w:vMerge/>
            <w:tcBorders>
              <w:top w:val="nil"/>
              <w:left w:val="nil"/>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330"/>
        </w:trPr>
        <w:tc>
          <w:tcPr>
            <w:tcW w:w="5228" w:type="dxa"/>
            <w:tcBorders>
              <w:top w:val="nil"/>
              <w:left w:val="single" w:sz="8"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2) Depósitos en cuenta corriente:</w:t>
            </w:r>
          </w:p>
        </w:tc>
        <w:tc>
          <w:tcPr>
            <w:tcW w:w="872" w:type="dxa"/>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20"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414"/>
        </w:trPr>
        <w:tc>
          <w:tcPr>
            <w:tcW w:w="5228" w:type="dxa"/>
            <w:vMerge w:val="restart"/>
            <w:tcBorders>
              <w:top w:val="nil"/>
              <w:left w:val="single" w:sz="8" w:space="0" w:color="auto"/>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Por los depósitos en cuenta corriente que devenguen intereses u otras retribuciones</w:t>
            </w:r>
          </w:p>
          <w:p w:rsidR="000736FA" w:rsidRPr="00C81156" w:rsidRDefault="000736FA" w:rsidP="000736FA">
            <w:pPr>
              <w:autoSpaceDE w:val="0"/>
              <w:autoSpaceDN w:val="0"/>
              <w:adjustRightInd w:val="0"/>
              <w:spacing w:line="360" w:lineRule="auto"/>
              <w:jc w:val="both"/>
              <w:rPr>
                <w:color w:val="000000"/>
                <w:lang w:val="es-AR"/>
              </w:rPr>
            </w:pP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6%</w:t>
            </w: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20" w:type="dxa"/>
            <w:vMerge w:val="restart"/>
            <w:tcBorders>
              <w:top w:val="nil"/>
              <w:left w:val="nil"/>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228" w:type="dxa"/>
            <w:vMerge/>
            <w:tcBorders>
              <w:top w:val="nil"/>
              <w:left w:val="single" w:sz="8" w:space="0" w:color="auto"/>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20" w:type="dxa"/>
            <w:vMerge/>
            <w:tcBorders>
              <w:top w:val="nil"/>
              <w:left w:val="nil"/>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330"/>
        </w:trPr>
        <w:tc>
          <w:tcPr>
            <w:tcW w:w="5228" w:type="dxa"/>
            <w:tcBorders>
              <w:top w:val="nil"/>
              <w:left w:val="single" w:sz="8"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3) Giros y transferencias: Emisión.</w:t>
            </w:r>
          </w:p>
        </w:tc>
        <w:tc>
          <w:tcPr>
            <w:tcW w:w="872" w:type="dxa"/>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20"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660"/>
        </w:trPr>
        <w:tc>
          <w:tcPr>
            <w:tcW w:w="5228" w:type="dxa"/>
            <w:tcBorders>
              <w:top w:val="nil"/>
              <w:left w:val="single" w:sz="8"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De más de Pesos Cien ($ 100)</w:t>
            </w:r>
          </w:p>
        </w:tc>
        <w:tc>
          <w:tcPr>
            <w:tcW w:w="872" w:type="dxa"/>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0,10%</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0,10%</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0,10%</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0,10%</w:t>
            </w:r>
          </w:p>
        </w:tc>
        <w:tc>
          <w:tcPr>
            <w:tcW w:w="1120"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345"/>
        </w:trPr>
        <w:tc>
          <w:tcPr>
            <w:tcW w:w="5228" w:type="dxa"/>
            <w:tcBorders>
              <w:top w:val="nil"/>
              <w:left w:val="single" w:sz="8" w:space="0" w:color="auto"/>
              <w:bottom w:val="single" w:sz="8"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Máximo de:</w:t>
            </w:r>
          </w:p>
        </w:tc>
        <w:tc>
          <w:tcPr>
            <w:tcW w:w="872" w:type="dxa"/>
            <w:tcBorders>
              <w:top w:val="nil"/>
              <w:left w:val="single" w:sz="8" w:space="0" w:color="auto"/>
              <w:bottom w:val="single" w:sz="8"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72" w:type="dxa"/>
            <w:tcBorders>
              <w:top w:val="nil"/>
              <w:left w:val="nil"/>
              <w:bottom w:val="single" w:sz="8"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72" w:type="dxa"/>
            <w:tcBorders>
              <w:top w:val="nil"/>
              <w:left w:val="nil"/>
              <w:bottom w:val="single" w:sz="8"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872" w:type="dxa"/>
            <w:tcBorders>
              <w:top w:val="nil"/>
              <w:left w:val="nil"/>
              <w:bottom w:val="single" w:sz="8"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$ 110</w:t>
            </w:r>
          </w:p>
        </w:tc>
        <w:tc>
          <w:tcPr>
            <w:tcW w:w="1120" w:type="dxa"/>
            <w:tcBorders>
              <w:top w:val="nil"/>
              <w:left w:val="nil"/>
              <w:bottom w:val="single" w:sz="8"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330"/>
        </w:trPr>
        <w:tc>
          <w:tcPr>
            <w:tcW w:w="5228" w:type="dxa"/>
            <w:tcBorders>
              <w:top w:val="nil"/>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4) Letras de cambio:</w:t>
            </w:r>
          </w:p>
        </w:tc>
        <w:tc>
          <w:tcPr>
            <w:tcW w:w="872" w:type="dxa"/>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2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675"/>
        </w:trPr>
        <w:tc>
          <w:tcPr>
            <w:tcW w:w="5228" w:type="dxa"/>
            <w:tcBorders>
              <w:top w:val="nil"/>
              <w:left w:val="single" w:sz="8" w:space="0" w:color="000000"/>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las letras de cambio</w:t>
            </w:r>
          </w:p>
        </w:tc>
        <w:tc>
          <w:tcPr>
            <w:tcW w:w="872" w:type="dxa"/>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72" w:type="dxa"/>
            <w:tcBorders>
              <w:top w:val="nil"/>
              <w:left w:val="nil"/>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72" w:type="dxa"/>
            <w:tcBorders>
              <w:top w:val="nil"/>
              <w:left w:val="nil"/>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72" w:type="dxa"/>
            <w:tcBorders>
              <w:top w:val="nil"/>
              <w:left w:val="nil"/>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20" w:type="dxa"/>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228" w:type="dxa"/>
            <w:vMerge w:val="restart"/>
            <w:tcBorders>
              <w:top w:val="nil"/>
              <w:left w:val="single" w:sz="8" w:space="0" w:color="000000"/>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5) Ordenes de pago y de compra:  Por órdenes de pago</w:t>
            </w:r>
          </w:p>
          <w:p w:rsidR="000736FA" w:rsidRPr="00C81156" w:rsidRDefault="000736FA" w:rsidP="000736FA">
            <w:pPr>
              <w:autoSpaceDE w:val="0"/>
              <w:autoSpaceDN w:val="0"/>
              <w:adjustRightInd w:val="0"/>
              <w:spacing w:line="360" w:lineRule="auto"/>
              <w:jc w:val="both"/>
              <w:rPr>
                <w:color w:val="000000"/>
                <w:lang w:val="es-AR"/>
              </w:rPr>
            </w:pP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1,00%</w:t>
            </w: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72" w:type="dxa"/>
            <w:vMerge w:val="restart"/>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20" w:type="dxa"/>
            <w:vMerge w:val="restart"/>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228" w:type="dxa"/>
            <w:vMerge/>
            <w:tcBorders>
              <w:top w:val="nil"/>
              <w:left w:val="single" w:sz="8" w:space="0" w:color="000000"/>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single" w:sz="8" w:space="0" w:color="000000"/>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20" w:type="dxa"/>
            <w:vMerge/>
            <w:tcBorders>
              <w:top w:val="nil"/>
              <w:left w:val="nil"/>
              <w:bottom w:val="single" w:sz="8" w:space="0" w:color="000000"/>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330"/>
        </w:trPr>
        <w:tc>
          <w:tcPr>
            <w:tcW w:w="5228" w:type="dxa"/>
            <w:tcBorders>
              <w:top w:val="single" w:sz="8" w:space="0" w:color="auto"/>
              <w:left w:val="single" w:sz="8"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6) Seguros y reaseguros:</w:t>
            </w:r>
          </w:p>
          <w:p w:rsidR="000736FA" w:rsidRPr="00C81156" w:rsidRDefault="000736FA" w:rsidP="000736FA">
            <w:pPr>
              <w:autoSpaceDE w:val="0"/>
              <w:autoSpaceDN w:val="0"/>
              <w:adjustRightInd w:val="0"/>
              <w:spacing w:line="360" w:lineRule="auto"/>
              <w:jc w:val="both"/>
              <w:rPr>
                <w:color w:val="000000"/>
                <w:lang w:val="es-AR"/>
              </w:rPr>
            </w:pPr>
          </w:p>
        </w:tc>
        <w:tc>
          <w:tcPr>
            <w:tcW w:w="872" w:type="dxa"/>
            <w:tcBorders>
              <w:top w:val="single" w:sz="8" w:space="0" w:color="auto"/>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72" w:type="dxa"/>
            <w:tcBorders>
              <w:top w:val="single" w:sz="8"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single" w:sz="8"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single" w:sz="8"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20" w:type="dxa"/>
            <w:tcBorders>
              <w:top w:val="single" w:sz="8"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414"/>
        </w:trPr>
        <w:tc>
          <w:tcPr>
            <w:tcW w:w="5228" w:type="dxa"/>
            <w:vMerge w:val="restart"/>
            <w:tcBorders>
              <w:top w:val="nil"/>
              <w:left w:val="single" w:sz="8"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a)    Por los contratos de seguro de vida individual o colectivo </w:t>
            </w:r>
          </w:p>
        </w:tc>
        <w:tc>
          <w:tcPr>
            <w:tcW w:w="872" w:type="dxa"/>
            <w:vMerge w:val="restart"/>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0,10%</w:t>
            </w:r>
          </w:p>
        </w:tc>
        <w:tc>
          <w:tcPr>
            <w:tcW w:w="872" w:type="dxa"/>
            <w:vMerge w:val="restart"/>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0,10%</w:t>
            </w:r>
          </w:p>
        </w:tc>
        <w:tc>
          <w:tcPr>
            <w:tcW w:w="872" w:type="dxa"/>
            <w:vMerge w:val="restart"/>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0,10%</w:t>
            </w:r>
          </w:p>
        </w:tc>
        <w:tc>
          <w:tcPr>
            <w:tcW w:w="872" w:type="dxa"/>
            <w:vMerge w:val="restart"/>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0,10%</w:t>
            </w:r>
          </w:p>
        </w:tc>
        <w:tc>
          <w:tcPr>
            <w:tcW w:w="1120" w:type="dxa"/>
            <w:vMerge w:val="restart"/>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414"/>
        </w:trPr>
        <w:tc>
          <w:tcPr>
            <w:tcW w:w="5228" w:type="dxa"/>
            <w:vMerge/>
            <w:tcBorders>
              <w:top w:val="nil"/>
              <w:left w:val="single" w:sz="8"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872" w:type="dxa"/>
            <w:vMerge/>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c>
          <w:tcPr>
            <w:tcW w:w="1120" w:type="dxa"/>
            <w:vMerge/>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p>
        </w:tc>
      </w:tr>
      <w:tr w:rsidR="000736FA" w:rsidRPr="000736FA" w:rsidTr="000736FA">
        <w:trPr>
          <w:trHeight w:val="1050"/>
        </w:trPr>
        <w:tc>
          <w:tcPr>
            <w:tcW w:w="5228" w:type="dxa"/>
            <w:tcBorders>
              <w:top w:val="nil"/>
              <w:left w:val="single" w:sz="8" w:space="0" w:color="auto"/>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b)    Por los contratos de seguros de cualquier naturaleza, excepto de vida,</w:t>
            </w:r>
          </w:p>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p w:rsidR="000736FA" w:rsidRPr="00C81156" w:rsidRDefault="000736FA" w:rsidP="000736FA">
            <w:pPr>
              <w:autoSpaceDE w:val="0"/>
              <w:autoSpaceDN w:val="0"/>
              <w:adjustRightInd w:val="0"/>
              <w:spacing w:line="360" w:lineRule="auto"/>
              <w:jc w:val="both"/>
              <w:rPr>
                <w:color w:val="000000"/>
                <w:lang w:val="es-AR"/>
              </w:rPr>
            </w:pPr>
          </w:p>
        </w:tc>
        <w:tc>
          <w:tcPr>
            <w:tcW w:w="872" w:type="dxa"/>
            <w:tcBorders>
              <w:top w:val="nil"/>
              <w:left w:val="single" w:sz="8" w:space="0" w:color="auto"/>
              <w:bottom w:val="single" w:sz="4"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72" w:type="dxa"/>
            <w:tcBorders>
              <w:top w:val="nil"/>
              <w:left w:val="nil"/>
              <w:bottom w:val="single" w:sz="4"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72" w:type="dxa"/>
            <w:tcBorders>
              <w:top w:val="nil"/>
              <w:left w:val="nil"/>
              <w:bottom w:val="single" w:sz="4"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72" w:type="dxa"/>
            <w:tcBorders>
              <w:top w:val="nil"/>
              <w:left w:val="nil"/>
              <w:bottom w:val="single" w:sz="4"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20" w:type="dxa"/>
            <w:tcBorders>
              <w:top w:val="nil"/>
              <w:left w:val="nil"/>
              <w:bottom w:val="single" w:sz="4"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330"/>
        </w:trPr>
        <w:tc>
          <w:tcPr>
            <w:tcW w:w="5228" w:type="dxa"/>
            <w:tcBorders>
              <w:top w:val="single" w:sz="4" w:space="0" w:color="auto"/>
              <w:left w:val="single" w:sz="4" w:space="0" w:color="auto"/>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7) Cheques:</w:t>
            </w:r>
          </w:p>
        </w:tc>
        <w:tc>
          <w:tcPr>
            <w:tcW w:w="872" w:type="dxa"/>
            <w:tcBorders>
              <w:top w:val="single" w:sz="4" w:space="0" w:color="auto"/>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single" w:sz="4"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single" w:sz="4"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single" w:sz="4"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20" w:type="dxa"/>
            <w:tcBorders>
              <w:top w:val="single" w:sz="4" w:space="0" w:color="auto"/>
              <w:left w:val="nil"/>
              <w:bottom w:val="nil"/>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675"/>
        </w:trPr>
        <w:tc>
          <w:tcPr>
            <w:tcW w:w="5228" w:type="dxa"/>
            <w:tcBorders>
              <w:top w:val="nil"/>
              <w:left w:val="single" w:sz="4" w:space="0" w:color="auto"/>
              <w:bottom w:val="single" w:sz="4" w:space="0" w:color="auto"/>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cada cheque</w:t>
            </w:r>
          </w:p>
        </w:tc>
        <w:tc>
          <w:tcPr>
            <w:tcW w:w="872" w:type="dxa"/>
            <w:tcBorders>
              <w:top w:val="nil"/>
              <w:left w:val="single" w:sz="8" w:space="0" w:color="auto"/>
              <w:bottom w:val="single" w:sz="4"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$ 0,60</w:t>
            </w:r>
          </w:p>
        </w:tc>
        <w:tc>
          <w:tcPr>
            <w:tcW w:w="872" w:type="dxa"/>
            <w:tcBorders>
              <w:top w:val="nil"/>
              <w:left w:val="nil"/>
              <w:bottom w:val="single" w:sz="4"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$ 0,60</w:t>
            </w:r>
          </w:p>
        </w:tc>
        <w:tc>
          <w:tcPr>
            <w:tcW w:w="872" w:type="dxa"/>
            <w:tcBorders>
              <w:top w:val="nil"/>
              <w:left w:val="nil"/>
              <w:bottom w:val="single" w:sz="4"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$ 0,60</w:t>
            </w:r>
          </w:p>
        </w:tc>
        <w:tc>
          <w:tcPr>
            <w:tcW w:w="872" w:type="dxa"/>
            <w:tcBorders>
              <w:top w:val="nil"/>
              <w:left w:val="nil"/>
              <w:bottom w:val="single" w:sz="4"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$ 0,60</w:t>
            </w:r>
          </w:p>
        </w:tc>
        <w:tc>
          <w:tcPr>
            <w:tcW w:w="1120" w:type="dxa"/>
            <w:tcBorders>
              <w:top w:val="nil"/>
              <w:left w:val="nil"/>
              <w:bottom w:val="single" w:sz="4" w:space="0" w:color="auto"/>
              <w:right w:val="single" w:sz="4"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330"/>
        </w:trPr>
        <w:tc>
          <w:tcPr>
            <w:tcW w:w="5228" w:type="dxa"/>
            <w:tcBorders>
              <w:top w:val="single" w:sz="4" w:space="0" w:color="auto"/>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8) Pagarés:</w:t>
            </w:r>
          </w:p>
        </w:tc>
        <w:tc>
          <w:tcPr>
            <w:tcW w:w="872" w:type="dxa"/>
            <w:tcBorders>
              <w:top w:val="single" w:sz="4" w:space="0" w:color="auto"/>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72" w:type="dxa"/>
            <w:tcBorders>
              <w:top w:val="single" w:sz="4"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single" w:sz="4"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single" w:sz="4"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20" w:type="dxa"/>
            <w:tcBorders>
              <w:top w:val="single" w:sz="4" w:space="0" w:color="auto"/>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675"/>
        </w:trPr>
        <w:tc>
          <w:tcPr>
            <w:tcW w:w="5228" w:type="dxa"/>
            <w:tcBorders>
              <w:top w:val="nil"/>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pagarés </w:t>
            </w:r>
          </w:p>
        </w:tc>
        <w:tc>
          <w:tcPr>
            <w:tcW w:w="872" w:type="dxa"/>
            <w:tcBorders>
              <w:top w:val="nil"/>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72" w:type="dxa"/>
            <w:tcBorders>
              <w:top w:val="nil"/>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20" w:type="dxa"/>
            <w:tcBorders>
              <w:top w:val="nil"/>
              <w:left w:val="nil"/>
              <w:bottom w:val="nil"/>
              <w:right w:val="single" w:sz="8" w:space="0" w:color="000000"/>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r w:rsidR="000736FA" w:rsidRPr="000736FA" w:rsidTr="000736FA">
        <w:trPr>
          <w:trHeight w:val="330"/>
        </w:trPr>
        <w:tc>
          <w:tcPr>
            <w:tcW w:w="5228" w:type="dxa"/>
            <w:tcBorders>
              <w:top w:val="single" w:sz="8" w:space="0" w:color="000000"/>
              <w:left w:val="single" w:sz="8" w:space="0" w:color="000000"/>
              <w:bottom w:val="nil"/>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9) Tarjetas de crédito o compras: </w:t>
            </w:r>
          </w:p>
        </w:tc>
        <w:tc>
          <w:tcPr>
            <w:tcW w:w="872" w:type="dxa"/>
            <w:tcBorders>
              <w:top w:val="single" w:sz="8" w:space="0" w:color="auto"/>
              <w:left w:val="single" w:sz="8" w:space="0" w:color="auto"/>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w:t>
            </w:r>
          </w:p>
        </w:tc>
        <w:tc>
          <w:tcPr>
            <w:tcW w:w="872" w:type="dxa"/>
            <w:tcBorders>
              <w:top w:val="single" w:sz="8"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single" w:sz="8"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872" w:type="dxa"/>
            <w:tcBorders>
              <w:top w:val="single" w:sz="8"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c>
          <w:tcPr>
            <w:tcW w:w="1120" w:type="dxa"/>
            <w:tcBorders>
              <w:top w:val="single" w:sz="8" w:space="0" w:color="auto"/>
              <w:left w:val="nil"/>
              <w:bottom w:val="nil"/>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w:t>
            </w:r>
          </w:p>
        </w:tc>
      </w:tr>
      <w:tr w:rsidR="000736FA" w:rsidRPr="000736FA" w:rsidTr="000736FA">
        <w:trPr>
          <w:trHeight w:val="1005"/>
        </w:trPr>
        <w:tc>
          <w:tcPr>
            <w:tcW w:w="5228" w:type="dxa"/>
            <w:tcBorders>
              <w:top w:val="nil"/>
              <w:left w:val="single" w:sz="8" w:space="0" w:color="000000"/>
              <w:bottom w:val="single" w:sz="8" w:space="0" w:color="000000"/>
              <w:right w:val="nil"/>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 xml:space="preserve">     Por los débitos efectuados a los tenedores de tarjetas de crédito o  compras</w:t>
            </w:r>
          </w:p>
        </w:tc>
        <w:tc>
          <w:tcPr>
            <w:tcW w:w="872" w:type="dxa"/>
            <w:tcBorders>
              <w:top w:val="nil"/>
              <w:left w:val="single" w:sz="8" w:space="0" w:color="auto"/>
              <w:bottom w:val="single" w:sz="8"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1%</w:t>
            </w:r>
          </w:p>
        </w:tc>
        <w:tc>
          <w:tcPr>
            <w:tcW w:w="872" w:type="dxa"/>
            <w:tcBorders>
              <w:top w:val="nil"/>
              <w:left w:val="nil"/>
              <w:bottom w:val="single" w:sz="8"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0,75%</w:t>
            </w:r>
          </w:p>
        </w:tc>
        <w:tc>
          <w:tcPr>
            <w:tcW w:w="872" w:type="dxa"/>
            <w:tcBorders>
              <w:top w:val="nil"/>
              <w:left w:val="nil"/>
              <w:bottom w:val="single" w:sz="8"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0,50%</w:t>
            </w:r>
          </w:p>
        </w:tc>
        <w:tc>
          <w:tcPr>
            <w:tcW w:w="872" w:type="dxa"/>
            <w:tcBorders>
              <w:top w:val="nil"/>
              <w:left w:val="nil"/>
              <w:bottom w:val="single" w:sz="8"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0,25%</w:t>
            </w:r>
          </w:p>
        </w:tc>
        <w:tc>
          <w:tcPr>
            <w:tcW w:w="1120" w:type="dxa"/>
            <w:tcBorders>
              <w:top w:val="nil"/>
              <w:left w:val="nil"/>
              <w:bottom w:val="single" w:sz="8" w:space="0" w:color="auto"/>
              <w:right w:val="single" w:sz="8" w:space="0" w:color="auto"/>
            </w:tcBorders>
            <w:vAlign w:val="center"/>
          </w:tcPr>
          <w:p w:rsidR="000736FA" w:rsidRPr="00C81156" w:rsidRDefault="000736FA" w:rsidP="000736FA">
            <w:pPr>
              <w:autoSpaceDE w:val="0"/>
              <w:autoSpaceDN w:val="0"/>
              <w:adjustRightInd w:val="0"/>
              <w:spacing w:line="360" w:lineRule="auto"/>
              <w:jc w:val="both"/>
              <w:rPr>
                <w:color w:val="000000"/>
                <w:lang w:val="es-AR"/>
              </w:rPr>
            </w:pPr>
            <w:r w:rsidRPr="00C81156">
              <w:rPr>
                <w:color w:val="000000"/>
                <w:lang w:val="es-AR"/>
              </w:rPr>
              <w:t>0%</w:t>
            </w:r>
          </w:p>
        </w:tc>
      </w:tr>
    </w:tbl>
    <w:p w:rsidR="000736FA" w:rsidRPr="000736FA" w:rsidRDefault="000736FA" w:rsidP="000736FA">
      <w:pPr>
        <w:autoSpaceDE w:val="0"/>
        <w:autoSpaceDN w:val="0"/>
        <w:adjustRightInd w:val="0"/>
        <w:spacing w:line="360" w:lineRule="auto"/>
        <w:jc w:val="both"/>
        <w:rPr>
          <w:b/>
          <w:color w:val="000000"/>
          <w:lang w:val="es-ES"/>
        </w:rPr>
      </w:pPr>
    </w:p>
    <w:p w:rsidR="000736FA" w:rsidRPr="000736FA" w:rsidRDefault="000736FA" w:rsidP="000736FA">
      <w:pPr>
        <w:autoSpaceDE w:val="0"/>
        <w:autoSpaceDN w:val="0"/>
        <w:adjustRightInd w:val="0"/>
        <w:spacing w:line="360" w:lineRule="auto"/>
        <w:jc w:val="both"/>
        <w:rPr>
          <w:b/>
          <w:color w:val="000000"/>
          <w:lang w:val="es-ES"/>
        </w:rPr>
      </w:pPr>
    </w:p>
    <w:p w:rsidR="000736FA" w:rsidRPr="00C81156" w:rsidRDefault="000736FA" w:rsidP="000736FA">
      <w:pPr>
        <w:autoSpaceDE w:val="0"/>
        <w:autoSpaceDN w:val="0"/>
        <w:adjustRightInd w:val="0"/>
        <w:spacing w:line="360" w:lineRule="auto"/>
        <w:jc w:val="both"/>
        <w:rPr>
          <w:color w:val="000000"/>
          <w:lang w:val="es-ES"/>
        </w:rPr>
      </w:pPr>
      <w:r w:rsidRPr="000736FA">
        <w:rPr>
          <w:b/>
          <w:color w:val="000000"/>
          <w:u w:val="single"/>
          <w:lang w:val="es-ES"/>
        </w:rPr>
        <w:t>ARTICULO 5º</w:t>
      </w:r>
      <w:r w:rsidR="000D09FF">
        <w:rPr>
          <w:b/>
          <w:color w:val="000000"/>
          <w:lang w:val="es-ES"/>
        </w:rPr>
        <w:t>:</w:t>
      </w:r>
      <w:r w:rsidRPr="000736FA">
        <w:rPr>
          <w:b/>
          <w:color w:val="000000"/>
          <w:lang w:val="es-ES"/>
        </w:rPr>
        <w:t xml:space="preserve"> </w:t>
      </w:r>
      <w:r w:rsidRPr="00C81156">
        <w:rPr>
          <w:color w:val="000000"/>
          <w:lang w:val="es-ES"/>
        </w:rPr>
        <w:t>Facúltese al Poder Ejecutivo a dictar las normas que resulten necesarias para la aplicación de las disposiciones emanadas del Consenso Fiscal aprobado y a instrumentar las medidas oportunas para su efectivo cumplimiento.-</w:t>
      </w:r>
    </w:p>
    <w:p w:rsidR="000736FA" w:rsidRPr="000736FA" w:rsidRDefault="000736FA" w:rsidP="000736FA">
      <w:pPr>
        <w:autoSpaceDE w:val="0"/>
        <w:autoSpaceDN w:val="0"/>
        <w:adjustRightInd w:val="0"/>
        <w:spacing w:line="360" w:lineRule="auto"/>
        <w:jc w:val="both"/>
        <w:rPr>
          <w:b/>
          <w:color w:val="000000"/>
          <w:lang w:val="es-ES"/>
        </w:rPr>
      </w:pPr>
    </w:p>
    <w:p w:rsidR="000736FA" w:rsidRPr="00C81156" w:rsidRDefault="000736FA" w:rsidP="000736FA">
      <w:pPr>
        <w:autoSpaceDE w:val="0"/>
        <w:autoSpaceDN w:val="0"/>
        <w:adjustRightInd w:val="0"/>
        <w:spacing w:line="360" w:lineRule="auto"/>
        <w:jc w:val="both"/>
        <w:rPr>
          <w:color w:val="000000"/>
          <w:lang w:val="es-ES"/>
        </w:rPr>
      </w:pPr>
      <w:r w:rsidRPr="000736FA">
        <w:rPr>
          <w:b/>
          <w:color w:val="000000"/>
          <w:u w:val="single"/>
          <w:lang w:val="es-ES"/>
        </w:rPr>
        <w:t>ARTICULO 6º</w:t>
      </w:r>
      <w:r w:rsidR="000D09FF">
        <w:rPr>
          <w:b/>
          <w:color w:val="000000"/>
          <w:lang w:val="es-ES"/>
        </w:rPr>
        <w:t>:</w:t>
      </w:r>
      <w:r w:rsidRPr="000736FA">
        <w:rPr>
          <w:b/>
          <w:color w:val="000000"/>
          <w:lang w:val="es-ES"/>
        </w:rPr>
        <w:t xml:space="preserve"> </w:t>
      </w:r>
      <w:r w:rsidRPr="00C81156">
        <w:rPr>
          <w:color w:val="000000"/>
          <w:lang w:val="es-ES"/>
        </w:rPr>
        <w:t>Invítase a los Municipios a adherir a la presente Ley.-</w:t>
      </w:r>
    </w:p>
    <w:p w:rsidR="000736FA" w:rsidRPr="000736FA" w:rsidRDefault="000736FA" w:rsidP="000736FA">
      <w:pPr>
        <w:autoSpaceDE w:val="0"/>
        <w:autoSpaceDN w:val="0"/>
        <w:adjustRightInd w:val="0"/>
        <w:spacing w:line="360" w:lineRule="auto"/>
        <w:jc w:val="both"/>
        <w:rPr>
          <w:b/>
          <w:color w:val="000000"/>
          <w:lang w:val="es-ES"/>
        </w:rPr>
      </w:pPr>
    </w:p>
    <w:p w:rsidR="000736FA" w:rsidRPr="00C81156" w:rsidRDefault="000736FA" w:rsidP="000736FA">
      <w:pPr>
        <w:autoSpaceDE w:val="0"/>
        <w:autoSpaceDN w:val="0"/>
        <w:adjustRightInd w:val="0"/>
        <w:spacing w:line="360" w:lineRule="auto"/>
        <w:jc w:val="both"/>
        <w:rPr>
          <w:color w:val="000000"/>
          <w:lang w:val="es-ES"/>
        </w:rPr>
      </w:pPr>
      <w:r w:rsidRPr="000736FA">
        <w:rPr>
          <w:b/>
          <w:color w:val="000000"/>
          <w:u w:val="single"/>
          <w:lang w:val="es-ES"/>
        </w:rPr>
        <w:t>ARTICULO 7º</w:t>
      </w:r>
      <w:r w:rsidR="000D09FF">
        <w:rPr>
          <w:b/>
          <w:color w:val="000000"/>
          <w:lang w:val="es-ES"/>
        </w:rPr>
        <w:t>:</w:t>
      </w:r>
      <w:r w:rsidRPr="000736FA">
        <w:rPr>
          <w:b/>
          <w:color w:val="000000"/>
          <w:lang w:val="es-ES"/>
        </w:rPr>
        <w:t xml:space="preserve"> </w:t>
      </w:r>
      <w:r w:rsidRPr="00C81156">
        <w:rPr>
          <w:color w:val="000000"/>
          <w:lang w:val="es-ES"/>
        </w:rPr>
        <w:t>Comuníquese, etc.-</w:t>
      </w:r>
    </w:p>
    <w:p w:rsidR="000736FA" w:rsidRPr="000736FA" w:rsidRDefault="000736FA" w:rsidP="000736FA">
      <w:pPr>
        <w:autoSpaceDE w:val="0"/>
        <w:autoSpaceDN w:val="0"/>
        <w:adjustRightInd w:val="0"/>
        <w:spacing w:line="360" w:lineRule="auto"/>
        <w:jc w:val="both"/>
        <w:rPr>
          <w:b/>
          <w:color w:val="000000"/>
          <w:lang w:val="es-ES"/>
        </w:rPr>
      </w:pPr>
    </w:p>
    <w:p w:rsidR="000736FA" w:rsidRPr="000736FA" w:rsidRDefault="000736FA" w:rsidP="000736FA">
      <w:pPr>
        <w:autoSpaceDE w:val="0"/>
        <w:autoSpaceDN w:val="0"/>
        <w:adjustRightInd w:val="0"/>
        <w:spacing w:line="360" w:lineRule="auto"/>
        <w:jc w:val="both"/>
        <w:rPr>
          <w:b/>
          <w:color w:val="000000"/>
          <w:lang w:val="es-AR"/>
        </w:rPr>
      </w:pPr>
    </w:p>
    <w:p w:rsidR="000736FA" w:rsidRPr="000736FA" w:rsidRDefault="000736FA" w:rsidP="000736FA">
      <w:pPr>
        <w:autoSpaceDE w:val="0"/>
        <w:autoSpaceDN w:val="0"/>
        <w:adjustRightInd w:val="0"/>
        <w:spacing w:line="360" w:lineRule="auto"/>
        <w:jc w:val="both"/>
        <w:rPr>
          <w:b/>
          <w:color w:val="000000"/>
          <w:lang w:val="es-AR"/>
        </w:rPr>
      </w:pPr>
    </w:p>
    <w:p w:rsidR="003E16EE" w:rsidRDefault="003E16EE" w:rsidP="008B2ADA">
      <w:pPr>
        <w:spacing w:line="360" w:lineRule="auto"/>
        <w:jc w:val="center"/>
        <w:rPr>
          <w:bCs/>
          <w:lang w:val="es-AR"/>
        </w:rPr>
      </w:pPr>
      <w:r>
        <w:rPr>
          <w:b/>
        </w:rPr>
        <w:t xml:space="preserve">PARANÁ, </w:t>
      </w:r>
      <w:r>
        <w:rPr>
          <w:bCs/>
        </w:rPr>
        <w:t xml:space="preserve">Sala de Comisiones, </w:t>
      </w:r>
      <w:r w:rsidR="00DC061D">
        <w:rPr>
          <w:bCs/>
          <w:lang w:val="es-AR"/>
        </w:rPr>
        <w:t>30</w:t>
      </w:r>
      <w:r>
        <w:rPr>
          <w:bCs/>
        </w:rPr>
        <w:t xml:space="preserve"> de </w:t>
      </w:r>
      <w:r w:rsidR="006171E1">
        <w:rPr>
          <w:bCs/>
          <w:lang w:val="es-AR"/>
        </w:rPr>
        <w:t>abril</w:t>
      </w:r>
      <w:r w:rsidR="00763187">
        <w:rPr>
          <w:bCs/>
          <w:lang w:val="es-AR"/>
        </w:rPr>
        <w:t xml:space="preserve"> </w:t>
      </w:r>
      <w:r>
        <w:rPr>
          <w:bCs/>
        </w:rPr>
        <w:t>de 201</w:t>
      </w:r>
      <w:r w:rsidR="000D09FF">
        <w:rPr>
          <w:bCs/>
          <w:lang w:val="es-AR"/>
        </w:rPr>
        <w:t>9</w:t>
      </w:r>
    </w:p>
    <w:p w:rsidR="00790F1D" w:rsidRPr="0005454E" w:rsidRDefault="00790F1D" w:rsidP="008B2ADA">
      <w:pPr>
        <w:spacing w:line="360" w:lineRule="auto"/>
        <w:jc w:val="center"/>
        <w:rPr>
          <w:bCs/>
          <w:lang w:val="es-AR"/>
        </w:rPr>
      </w:pPr>
    </w:p>
    <w:p w:rsidR="00A63D17" w:rsidRPr="00A053BE" w:rsidRDefault="00A63D17" w:rsidP="008B2ADA">
      <w:pPr>
        <w:spacing w:line="360" w:lineRule="auto"/>
        <w:rPr>
          <w:b/>
        </w:rPr>
      </w:pPr>
      <w:r w:rsidRPr="00A053BE">
        <w:rPr>
          <w:b/>
        </w:rPr>
        <w:t xml:space="preserve">KISSER, </w:t>
      </w:r>
      <w:r w:rsidRPr="00A053BE">
        <w:t>Raymundo Arturo</w:t>
      </w:r>
      <w:r w:rsidRPr="00A053BE">
        <w:rPr>
          <w:b/>
        </w:rPr>
        <w:t xml:space="preserve">  </w:t>
      </w:r>
    </w:p>
    <w:p w:rsidR="00097E2A" w:rsidRPr="00A053BE" w:rsidRDefault="00097E2A" w:rsidP="008B2ADA">
      <w:pPr>
        <w:spacing w:line="360" w:lineRule="auto"/>
        <w:rPr>
          <w:b/>
        </w:rPr>
      </w:pPr>
    </w:p>
    <w:p w:rsidR="00666106" w:rsidRPr="00A053BE" w:rsidRDefault="00097E2A" w:rsidP="008B2ADA">
      <w:pPr>
        <w:spacing w:line="360" w:lineRule="auto"/>
        <w:rPr>
          <w:b/>
        </w:rPr>
      </w:pPr>
      <w:r w:rsidRPr="00A053BE">
        <w:rPr>
          <w:b/>
          <w:lang w:val="es-AR"/>
        </w:rPr>
        <w:t xml:space="preserve">ESPINOZA, </w:t>
      </w:r>
      <w:r w:rsidRPr="00A053BE">
        <w:rPr>
          <w:lang w:val="es-AR"/>
        </w:rPr>
        <w:t>Miriam Liliana</w:t>
      </w:r>
      <w:r w:rsidR="00500520" w:rsidRPr="00A053BE">
        <w:rPr>
          <w:b/>
        </w:rPr>
        <w:t xml:space="preserve"> </w:t>
      </w:r>
      <w:r w:rsidR="00A63D17" w:rsidRPr="00A053BE">
        <w:rPr>
          <w:b/>
        </w:rPr>
        <w:t xml:space="preserve">       </w:t>
      </w:r>
    </w:p>
    <w:p w:rsidR="00A63D17" w:rsidRPr="00A053BE" w:rsidRDefault="00A63D17" w:rsidP="008B2ADA">
      <w:pPr>
        <w:spacing w:line="360" w:lineRule="auto"/>
        <w:rPr>
          <w:b/>
        </w:rPr>
      </w:pPr>
    </w:p>
    <w:p w:rsidR="00A63D17" w:rsidRDefault="00A63D17" w:rsidP="008B2ADA">
      <w:pPr>
        <w:spacing w:line="360" w:lineRule="auto"/>
      </w:pPr>
      <w:r w:rsidRPr="00A053BE">
        <w:rPr>
          <w:b/>
        </w:rPr>
        <w:t xml:space="preserve">BALLESTENA, </w:t>
      </w:r>
      <w:r w:rsidRPr="00A053BE">
        <w:t>Aldo Alberto</w:t>
      </w:r>
    </w:p>
    <w:p w:rsidR="00A053BE" w:rsidRDefault="00A053BE" w:rsidP="008B2ADA">
      <w:pPr>
        <w:spacing w:line="360" w:lineRule="auto"/>
      </w:pPr>
    </w:p>
    <w:p w:rsidR="00654C24" w:rsidRDefault="00A053BE" w:rsidP="00A053BE">
      <w:pPr>
        <w:spacing w:line="360" w:lineRule="auto"/>
        <w:rPr>
          <w:b/>
          <w:lang w:val="es-AR"/>
        </w:rPr>
      </w:pPr>
      <w:r w:rsidRPr="00A053BE">
        <w:rPr>
          <w:b/>
          <w:lang w:val="es-AR"/>
        </w:rPr>
        <w:t xml:space="preserve">BONATO, </w:t>
      </w:r>
      <w:r w:rsidRPr="00654C24">
        <w:rPr>
          <w:lang w:val="es-AR"/>
        </w:rPr>
        <w:t>René Alcides</w:t>
      </w:r>
      <w:r w:rsidRPr="00A053BE">
        <w:rPr>
          <w:b/>
          <w:lang w:val="es-AR"/>
        </w:rPr>
        <w:t xml:space="preserve">   </w:t>
      </w:r>
    </w:p>
    <w:p w:rsidR="00654C24" w:rsidRPr="00A053BE" w:rsidRDefault="00A053BE" w:rsidP="00A053BE">
      <w:pPr>
        <w:spacing w:line="360" w:lineRule="auto"/>
        <w:rPr>
          <w:b/>
          <w:lang w:val="es-AR"/>
        </w:rPr>
      </w:pPr>
      <w:r w:rsidRPr="00A053BE">
        <w:rPr>
          <w:b/>
          <w:lang w:val="es-AR"/>
        </w:rPr>
        <w:t xml:space="preserve"> </w:t>
      </w:r>
    </w:p>
    <w:p w:rsidR="00654C24" w:rsidRDefault="00654C24" w:rsidP="00654C24">
      <w:pPr>
        <w:spacing w:line="360" w:lineRule="auto"/>
      </w:pPr>
      <w:r w:rsidRPr="00654C24">
        <w:rPr>
          <w:b/>
        </w:rPr>
        <w:t xml:space="preserve">FERRARI, </w:t>
      </w:r>
      <w:r w:rsidRPr="00654C24">
        <w:t>Roque Ramón</w:t>
      </w:r>
    </w:p>
    <w:p w:rsidR="00654C24" w:rsidRDefault="00654C24" w:rsidP="00654C24">
      <w:pPr>
        <w:spacing w:line="360" w:lineRule="auto"/>
      </w:pPr>
    </w:p>
    <w:p w:rsidR="00654C24" w:rsidRDefault="00654C24" w:rsidP="00654C24">
      <w:pPr>
        <w:spacing w:line="360" w:lineRule="auto"/>
      </w:pPr>
      <w:r w:rsidRPr="00654C24">
        <w:rPr>
          <w:b/>
        </w:rPr>
        <w:t xml:space="preserve">GIANO, </w:t>
      </w:r>
      <w:r w:rsidRPr="00654C24">
        <w:t>Ángel Francisco</w:t>
      </w:r>
    </w:p>
    <w:p w:rsidR="00DC061D" w:rsidRDefault="00DC061D" w:rsidP="00654C24">
      <w:pPr>
        <w:spacing w:line="360" w:lineRule="auto"/>
      </w:pPr>
    </w:p>
    <w:p w:rsidR="00DC061D" w:rsidRDefault="00DC061D" w:rsidP="00DC061D">
      <w:pPr>
        <w:spacing w:line="360" w:lineRule="auto"/>
        <w:rPr>
          <w:lang w:val="es-AR"/>
        </w:rPr>
      </w:pPr>
      <w:r w:rsidRPr="00DC061D">
        <w:rPr>
          <w:b/>
          <w:lang w:val="es-AR"/>
        </w:rPr>
        <w:t>LORA</w:t>
      </w:r>
      <w:r w:rsidRPr="00DC061D">
        <w:rPr>
          <w:lang w:val="es-AR"/>
        </w:rPr>
        <w:t>, Beltrán Alberto</w:t>
      </w:r>
    </w:p>
    <w:p w:rsidR="00DC061D" w:rsidRDefault="00DC061D" w:rsidP="00DC061D">
      <w:pPr>
        <w:spacing w:line="360" w:lineRule="auto"/>
        <w:rPr>
          <w:lang w:val="es-AR"/>
        </w:rPr>
      </w:pPr>
    </w:p>
    <w:p w:rsidR="00DC061D" w:rsidRDefault="00DC061D" w:rsidP="00DC061D">
      <w:pPr>
        <w:spacing w:line="360" w:lineRule="auto"/>
      </w:pPr>
      <w:r w:rsidRPr="00DC061D">
        <w:rPr>
          <w:b/>
        </w:rPr>
        <w:t xml:space="preserve">MATTIAUDA, </w:t>
      </w:r>
      <w:r w:rsidRPr="00DC061D">
        <w:t>Nicolás</w:t>
      </w:r>
    </w:p>
    <w:p w:rsidR="00DC061D" w:rsidRPr="00DC061D" w:rsidRDefault="00DC061D" w:rsidP="00DC061D">
      <w:pPr>
        <w:spacing w:line="360" w:lineRule="auto"/>
        <w:rPr>
          <w:b/>
        </w:rPr>
      </w:pPr>
    </w:p>
    <w:p w:rsidR="00DC061D" w:rsidRPr="00DC061D" w:rsidRDefault="00DC061D" w:rsidP="00DC061D">
      <w:pPr>
        <w:spacing w:line="360" w:lineRule="auto"/>
        <w:rPr>
          <w:b/>
        </w:rPr>
      </w:pPr>
      <w:r w:rsidRPr="00DC061D">
        <w:rPr>
          <w:b/>
        </w:rPr>
        <w:t xml:space="preserve">MORCHIO, </w:t>
      </w:r>
      <w:r w:rsidRPr="00DC061D">
        <w:t>Francisco Alejandro</w:t>
      </w:r>
    </w:p>
    <w:p w:rsidR="008B3FF0" w:rsidRDefault="008B3FF0" w:rsidP="008B2ADA">
      <w:pPr>
        <w:spacing w:line="360" w:lineRule="auto"/>
        <w:rPr>
          <w:b/>
        </w:rPr>
      </w:pPr>
    </w:p>
    <w:p w:rsidR="00A63D17" w:rsidRPr="00A053BE" w:rsidRDefault="00A63D17" w:rsidP="008B2ADA">
      <w:pPr>
        <w:spacing w:line="360" w:lineRule="auto"/>
        <w:rPr>
          <w:b/>
        </w:rPr>
      </w:pPr>
      <w:r w:rsidRPr="00A053BE">
        <w:rPr>
          <w:b/>
        </w:rPr>
        <w:t xml:space="preserve">OLANO, </w:t>
      </w:r>
      <w:r w:rsidRPr="00A053BE">
        <w:t>Daniel Horacio</w:t>
      </w:r>
    </w:p>
    <w:p w:rsidR="00666106" w:rsidRPr="00A053BE" w:rsidRDefault="00666106" w:rsidP="008B2ADA">
      <w:pPr>
        <w:spacing w:line="360" w:lineRule="auto"/>
        <w:rPr>
          <w:b/>
        </w:rPr>
      </w:pPr>
    </w:p>
    <w:p w:rsidR="00A63D17" w:rsidRPr="00A053BE" w:rsidRDefault="00A63D17" w:rsidP="008B2ADA">
      <w:pPr>
        <w:spacing w:line="360" w:lineRule="auto"/>
        <w:rPr>
          <w:b/>
        </w:rPr>
      </w:pPr>
      <w:r w:rsidRPr="00A053BE">
        <w:rPr>
          <w:b/>
        </w:rPr>
        <w:t xml:space="preserve">TORRES, </w:t>
      </w:r>
      <w:r w:rsidRPr="00A053BE">
        <w:t>Mario César</w:t>
      </w:r>
    </w:p>
    <w:p w:rsidR="00A63D17" w:rsidRPr="00A053BE" w:rsidRDefault="00A63D17" w:rsidP="008B2ADA">
      <w:pPr>
        <w:spacing w:line="360" w:lineRule="auto"/>
        <w:rPr>
          <w:b/>
        </w:rPr>
      </w:pPr>
    </w:p>
    <w:p w:rsidR="008B3FF0" w:rsidRPr="00A053BE" w:rsidRDefault="008B3FF0" w:rsidP="008B2ADA">
      <w:pPr>
        <w:spacing w:line="360" w:lineRule="auto"/>
        <w:rPr>
          <w:b/>
        </w:rPr>
      </w:pPr>
    </w:p>
    <w:p w:rsidR="00654C24" w:rsidRPr="00A053BE" w:rsidRDefault="00654C24" w:rsidP="008B2ADA">
      <w:pPr>
        <w:spacing w:line="360" w:lineRule="auto"/>
      </w:pPr>
    </w:p>
    <w:p w:rsidR="00D929A1" w:rsidRPr="00A053BE" w:rsidRDefault="00D929A1" w:rsidP="008B2ADA">
      <w:pPr>
        <w:spacing w:line="360" w:lineRule="auto"/>
      </w:pPr>
    </w:p>
    <w:p w:rsidR="003E16EE" w:rsidRDefault="003E16EE" w:rsidP="008B2ADA">
      <w:pPr>
        <w:pStyle w:val="Lista"/>
        <w:spacing w:after="0" w:line="360" w:lineRule="auto"/>
        <w:rPr>
          <w:rFonts w:cs="Times New Roman"/>
        </w:rPr>
      </w:pPr>
    </w:p>
    <w:sectPr w:rsidR="003E16EE" w:rsidSect="00186E52">
      <w:footerReference w:type="even" r:id="rId7"/>
      <w:footerReference w:type="default" r:id="rId8"/>
      <w:footnotePr>
        <w:pos w:val="beneathText"/>
      </w:footnotePr>
      <w:type w:val="continuous"/>
      <w:pgSz w:w="11906" w:h="16838"/>
      <w:pgMar w:top="3119"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CF6" w:rsidRDefault="00851CF6">
      <w:r>
        <w:separator/>
      </w:r>
    </w:p>
  </w:endnote>
  <w:endnote w:type="continuationSeparator" w:id="0">
    <w:p w:rsidR="00851CF6" w:rsidRDefault="0085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6FA" w:rsidRDefault="000736F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736FA" w:rsidRDefault="000736F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6FA" w:rsidRDefault="000736FA">
    <w:pPr>
      <w:pStyle w:val="Piedepgina"/>
      <w:jc w:val="right"/>
    </w:pPr>
    <w:r>
      <w:fldChar w:fldCharType="begin"/>
    </w:r>
    <w:r>
      <w:instrText>PAGE   \* MERGEFORMAT</w:instrText>
    </w:r>
    <w:r>
      <w:fldChar w:fldCharType="separate"/>
    </w:r>
    <w:r w:rsidR="0033795B" w:rsidRPr="0033795B">
      <w:rPr>
        <w:noProof/>
        <w:lang w:val="es-ES"/>
      </w:rPr>
      <w:t>1</w:t>
    </w:r>
    <w:r>
      <w:fldChar w:fldCharType="end"/>
    </w:r>
  </w:p>
  <w:p w:rsidR="000736FA" w:rsidRDefault="000736F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CF6" w:rsidRDefault="00851CF6">
      <w:r>
        <w:separator/>
      </w:r>
    </w:p>
  </w:footnote>
  <w:footnote w:type="continuationSeparator" w:id="0">
    <w:p w:rsidR="00851CF6" w:rsidRDefault="00851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2109"/>
        </w:tabs>
        <w:ind w:left="2109" w:hanging="360"/>
      </w:pPr>
      <w:rPr>
        <w:rFonts w:ascii="OpenSymbol" w:hAnsi="OpenSymbol" w:cs="OpenSymbol"/>
      </w:rPr>
    </w:lvl>
  </w:abstractNum>
  <w:abstractNum w:abstractNumId="2" w15:restartNumberingAfterBreak="0">
    <w:nsid w:val="0E4E06FD"/>
    <w:multiLevelType w:val="singleLevel"/>
    <w:tmpl w:val="E6669ECA"/>
    <w:lvl w:ilvl="0">
      <w:start w:val="1"/>
      <w:numFmt w:val="lowerLetter"/>
      <w:lvlText w:val="%1)"/>
      <w:lvlJc w:val="left"/>
      <w:pPr>
        <w:tabs>
          <w:tab w:val="num" w:pos="360"/>
        </w:tabs>
        <w:ind w:left="360" w:hanging="360"/>
      </w:pPr>
      <w:rPr>
        <w:rFonts w:ascii="Times New Roman" w:eastAsia="Times New Roman" w:hAnsi="Times New Roman" w:cs="Times New Roman"/>
        <w:sz w:val="18"/>
      </w:rPr>
    </w:lvl>
  </w:abstractNum>
  <w:num w:numId="1">
    <w:abstractNumId w:val="0"/>
  </w:num>
  <w:num w:numId="2">
    <w:abstractNumId w:val="1"/>
  </w:num>
  <w:num w:numId="3">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E8"/>
    <w:rsid w:val="0005454E"/>
    <w:rsid w:val="000736FA"/>
    <w:rsid w:val="00086CB3"/>
    <w:rsid w:val="00097E2A"/>
    <w:rsid w:val="000B4806"/>
    <w:rsid w:val="000D09FF"/>
    <w:rsid w:val="00135043"/>
    <w:rsid w:val="001533B2"/>
    <w:rsid w:val="001644A1"/>
    <w:rsid w:val="00177F02"/>
    <w:rsid w:val="00186E52"/>
    <w:rsid w:val="001A62C3"/>
    <w:rsid w:val="001E0299"/>
    <w:rsid w:val="00223B49"/>
    <w:rsid w:val="002245D5"/>
    <w:rsid w:val="0033795B"/>
    <w:rsid w:val="003E16EE"/>
    <w:rsid w:val="0043189B"/>
    <w:rsid w:val="00450EE7"/>
    <w:rsid w:val="00486638"/>
    <w:rsid w:val="004A3AB6"/>
    <w:rsid w:val="004A5FB7"/>
    <w:rsid w:val="00500520"/>
    <w:rsid w:val="006171E1"/>
    <w:rsid w:val="00654C24"/>
    <w:rsid w:val="00666106"/>
    <w:rsid w:val="006762E0"/>
    <w:rsid w:val="006F0869"/>
    <w:rsid w:val="007107E8"/>
    <w:rsid w:val="00763187"/>
    <w:rsid w:val="00764A2A"/>
    <w:rsid w:val="00790F1D"/>
    <w:rsid w:val="007C3A0C"/>
    <w:rsid w:val="008079C4"/>
    <w:rsid w:val="008268CA"/>
    <w:rsid w:val="00851CF6"/>
    <w:rsid w:val="008B2ADA"/>
    <w:rsid w:val="008B3FF0"/>
    <w:rsid w:val="008D6D74"/>
    <w:rsid w:val="009111DE"/>
    <w:rsid w:val="0092319C"/>
    <w:rsid w:val="00956EC6"/>
    <w:rsid w:val="0096478B"/>
    <w:rsid w:val="009D35CD"/>
    <w:rsid w:val="00A053BE"/>
    <w:rsid w:val="00A63D17"/>
    <w:rsid w:val="00AD746F"/>
    <w:rsid w:val="00B75708"/>
    <w:rsid w:val="00C11D64"/>
    <w:rsid w:val="00C81156"/>
    <w:rsid w:val="00C84653"/>
    <w:rsid w:val="00CD775F"/>
    <w:rsid w:val="00CE591C"/>
    <w:rsid w:val="00D4366A"/>
    <w:rsid w:val="00D56D7F"/>
    <w:rsid w:val="00D74746"/>
    <w:rsid w:val="00D929A1"/>
    <w:rsid w:val="00DA2F13"/>
    <w:rsid w:val="00DC061D"/>
    <w:rsid w:val="00F41416"/>
    <w:rsid w:val="00F51DF3"/>
    <w:rsid w:val="00FA7C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ABFBD-CBFD-41F0-A77D-28455909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kern w:val="1"/>
      <w:sz w:val="24"/>
      <w:szCs w:val="24"/>
      <w:lang w:eastAsia="zh-CN"/>
    </w:rPr>
  </w:style>
  <w:style w:type="paragraph" w:styleId="Ttulo1">
    <w:name w:val="heading 1"/>
    <w:basedOn w:val="Normal"/>
    <w:next w:val="Normal"/>
    <w:qFormat/>
    <w:pPr>
      <w:keepNext/>
      <w:numPr>
        <w:numId w:val="1"/>
      </w:numPr>
      <w:tabs>
        <w:tab w:val="left" w:pos="567"/>
        <w:tab w:val="left" w:pos="1701"/>
        <w:tab w:val="left" w:pos="2268"/>
        <w:tab w:val="decimal" w:pos="8505"/>
      </w:tabs>
      <w:jc w:val="both"/>
      <w:outlineLvl w:val="0"/>
    </w:pPr>
  </w:style>
  <w:style w:type="paragraph" w:styleId="Ttulo2">
    <w:name w:val="heading 2"/>
    <w:basedOn w:val="Normal"/>
    <w:next w:val="Normal"/>
    <w:qFormat/>
    <w:pPr>
      <w:keepNext/>
      <w:numPr>
        <w:ilvl w:val="1"/>
        <w:numId w:val="1"/>
      </w:numPr>
      <w:jc w:val="center"/>
      <w:outlineLvl w:val="1"/>
    </w:pPr>
    <w:rPr>
      <w:b/>
    </w:rPr>
  </w:style>
  <w:style w:type="paragraph" w:styleId="Ttulo7">
    <w:name w:val="heading 7"/>
    <w:basedOn w:val="Normal"/>
    <w:next w:val="Normal"/>
    <w:qFormat/>
    <w:pPr>
      <w:keepNext/>
      <w:numPr>
        <w:ilvl w:val="6"/>
        <w:numId w:val="1"/>
      </w:numPr>
      <w:jc w:val="center"/>
      <w:outlineLvl w:val="6"/>
    </w:pPr>
    <w:rPr>
      <w:b/>
      <w:u w:val="single"/>
      <w:lang w:val="es-AR"/>
    </w:rPr>
  </w:style>
  <w:style w:type="paragraph" w:styleId="Ttulo8">
    <w:name w:val="heading 8"/>
    <w:basedOn w:val="Normal"/>
    <w:next w:val="Normal"/>
    <w:qFormat/>
    <w:pPr>
      <w:keepNext/>
      <w:numPr>
        <w:ilvl w:val="7"/>
        <w:numId w:val="1"/>
      </w:numPr>
      <w:jc w:val="center"/>
      <w:outlineLvl w:val="7"/>
    </w:pPr>
    <w:rPr>
      <w:b/>
      <w:sz w:val="22"/>
      <w:lang w:val="es-AR"/>
    </w:rPr>
  </w:style>
  <w:style w:type="paragraph" w:styleId="Ttulo9">
    <w:name w:val="heading 9"/>
    <w:basedOn w:val="Normal"/>
    <w:next w:val="Normal"/>
    <w:qFormat/>
    <w:pPr>
      <w:keepNext/>
      <w:numPr>
        <w:ilvl w:val="8"/>
        <w:numId w:val="1"/>
      </w:numPr>
      <w:jc w:val="both"/>
      <w:outlineLvl w:val="8"/>
    </w:pPr>
    <w:rPr>
      <w:b/>
      <w:sz w:val="22"/>
      <w:lang w:val="es-AR"/>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OpenSymbol" w:hAnsi="OpenSymbol" w:cs="OpenSymbol"/>
    </w:rPr>
  </w:style>
  <w:style w:type="character" w:customStyle="1" w:styleId="Absatz-Standardschriftart">
    <w:name w:val="Absatz-Standardschriftart"/>
  </w:style>
  <w:style w:type="character" w:styleId="Fuentedeprrafopredeter0">
    <w:name w:val="Default Paragraph Font"/>
    <w:semiHidden/>
  </w:style>
  <w:style w:type="character" w:customStyle="1" w:styleId="TextodegloboCar">
    <w:name w:val="Texto de globo Car"/>
    <w:uiPriority w:val="99"/>
    <w:rPr>
      <w:rFonts w:ascii="Tahoma" w:eastAsia="SimSun" w:hAnsi="Tahoma" w:cs="Tahoma"/>
      <w:kern w:val="1"/>
      <w:sz w:val="16"/>
      <w:szCs w:val="16"/>
      <w:lang/>
    </w:rPr>
  </w:style>
  <w:style w:type="paragraph" w:styleId="Encabezado">
    <w:name w:val="header"/>
    <w:basedOn w:val="Normal"/>
    <w:next w:val="Textoindependiente"/>
    <w:semiHidden/>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semiHidden/>
    <w:pPr>
      <w:spacing w:after="120"/>
    </w:pPr>
  </w:style>
  <w:style w:type="character" w:customStyle="1" w:styleId="TextoindependienteCar">
    <w:name w:val="Texto independiente Car"/>
    <w:link w:val="Textoindependiente"/>
    <w:semiHidden/>
    <w:rsid w:val="000736FA"/>
    <w:rPr>
      <w:rFonts w:eastAsia="SimSun"/>
      <w:kern w:val="1"/>
      <w:sz w:val="24"/>
      <w:szCs w:val="24"/>
      <w:lang w:eastAsia="zh-CN"/>
    </w:rPr>
  </w:style>
  <w:style w:type="paragraph" w:styleId="Lista">
    <w:name w:val="List"/>
    <w:basedOn w:val="Textoindependiente"/>
    <w:semiHidden/>
    <w:rPr>
      <w:rFonts w:cs="Tahoma"/>
    </w:rPr>
  </w:style>
  <w:style w:type="paragraph" w:styleId="Descripcin">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tiqueta">
    <w:name w:val="Etiqueta"/>
    <w:basedOn w:val="Normal"/>
    <w:pPr>
      <w:suppressLineNumbers/>
      <w:spacing w:before="120" w:after="120"/>
    </w:pPr>
    <w:rPr>
      <w:rFonts w:cs="Mangal"/>
      <w:i/>
      <w:iC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Encabezado0">
    <w:name w:val="header"/>
    <w:basedOn w:val="Normal"/>
    <w:next w:val="Textoindependiente"/>
    <w:link w:val="EncabezadoCar"/>
    <w:uiPriority w:val="99"/>
    <w:pPr>
      <w:keepNext/>
      <w:spacing w:before="240" w:after="120"/>
    </w:pPr>
    <w:rPr>
      <w:rFonts w:ascii="Arial" w:eastAsia="Andale Sans UI" w:hAnsi="Arial" w:cs="Tahoma"/>
      <w:sz w:val="28"/>
      <w:szCs w:val="28"/>
    </w:rPr>
  </w:style>
  <w:style w:type="character" w:customStyle="1" w:styleId="EncabezadoCar">
    <w:name w:val="Encabezado Car"/>
    <w:link w:val="Encabezado0"/>
    <w:uiPriority w:val="99"/>
    <w:rsid w:val="000736FA"/>
    <w:rPr>
      <w:rFonts w:ascii="Arial" w:eastAsia="Andale Sans UI" w:hAnsi="Arial" w:cs="Tahoma"/>
      <w:kern w:val="1"/>
      <w:sz w:val="28"/>
      <w:szCs w:val="28"/>
      <w:lang w:eastAsia="zh-CN"/>
    </w:rPr>
  </w:style>
  <w:style w:type="paragraph" w:styleId="Piedepgina">
    <w:name w:val="footer"/>
    <w:basedOn w:val="Normal"/>
    <w:link w:val="PiedepginaCar"/>
    <w:uiPriority w:val="99"/>
    <w:pPr>
      <w:suppressLineNumbers/>
      <w:tabs>
        <w:tab w:val="center" w:pos="4819"/>
        <w:tab w:val="right" w:pos="9638"/>
      </w:tabs>
    </w:pPr>
  </w:style>
  <w:style w:type="character" w:customStyle="1" w:styleId="PiedepginaCar">
    <w:name w:val="Pie de página Car"/>
    <w:link w:val="Piedepgina"/>
    <w:uiPriority w:val="99"/>
    <w:rsid w:val="00500520"/>
    <w:rPr>
      <w:rFonts w:eastAsia="SimSun"/>
      <w:kern w:val="1"/>
      <w:sz w:val="24"/>
      <w:szCs w:val="24"/>
      <w:lang w:eastAsia="zh-CN"/>
    </w:rPr>
  </w:style>
  <w:style w:type="paragraph" w:customStyle="1" w:styleId="Diario">
    <w:name w:val="Diario"/>
    <w:basedOn w:val="Normal"/>
    <w:pPr>
      <w:spacing w:line="238" w:lineRule="atLeast"/>
      <w:jc w:val="both"/>
    </w:pPr>
    <w:rPr>
      <w:rFonts w:ascii="Arial" w:hAnsi="Arial" w:cs="Arial"/>
      <w:sz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jc w:val="both"/>
    </w:pPr>
    <w:rPr>
      <w:b/>
      <w:sz w:val="22"/>
      <w:lang w:val="es-AR"/>
    </w:rPr>
  </w:style>
  <w:style w:type="paragraph" w:customStyle="1" w:styleId="Textoindependiente31">
    <w:name w:val="Texto independiente 31"/>
    <w:basedOn w:val="Normal"/>
    <w:pPr>
      <w:jc w:val="both"/>
    </w:pPr>
    <w:rPr>
      <w:sz w:val="22"/>
      <w:lang w:val="es-AR"/>
    </w:rPr>
  </w:style>
  <w:style w:type="paragraph" w:styleId="Textodeglobo">
    <w:name w:val="Balloon Text"/>
    <w:basedOn w:val="Normal"/>
    <w:uiPriority w:val="99"/>
    <w:rPr>
      <w:rFonts w:ascii="Tahoma" w:hAnsi="Tahoma" w:cs="Tahoma"/>
      <w:sz w:val="16"/>
      <w:szCs w:val="16"/>
    </w:rPr>
  </w:style>
  <w:style w:type="character" w:styleId="Nmerodepgina">
    <w:name w:val="page number"/>
    <w:basedOn w:val="Fuentedeprrafoprede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1843</Words>
  <Characters>10140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HONORABLE CAMARA:</vt:lpstr>
    </vt:vector>
  </TitlesOfParts>
  <Company>H.C.S.E.R.</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CAMARA:</dc:title>
  <dc:subject/>
  <dc:creator>Luffi</dc:creator>
  <cp:keywords/>
  <cp:lastModifiedBy>Romina</cp:lastModifiedBy>
  <cp:revision>3</cp:revision>
  <cp:lastPrinted>2019-04-30T14:08:00Z</cp:lastPrinted>
  <dcterms:created xsi:type="dcterms:W3CDTF">2019-05-02T14:25:00Z</dcterms:created>
  <dcterms:modified xsi:type="dcterms:W3CDTF">2019-05-02T14:25:00Z</dcterms:modified>
</cp:coreProperties>
</file>