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804" w:rsidRDefault="006E1804" w:rsidP="006E1804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lang w:val="es-MX"/>
        </w:rPr>
      </w:pPr>
      <w:bookmarkStart w:id="0" w:name="_GoBack"/>
      <w:bookmarkEnd w:id="0"/>
      <w:r>
        <w:rPr>
          <w:rFonts w:ascii="Century Gothic" w:hAnsi="Century Gothic"/>
          <w:b/>
          <w:spacing w:val="20"/>
          <w:sz w:val="22"/>
          <w:szCs w:val="22"/>
          <w:lang w:val="es-MX"/>
        </w:rPr>
        <w:t>A LA HONORABLE LEGISLATURA</w:t>
      </w:r>
    </w:p>
    <w:p w:rsidR="006E1804" w:rsidRDefault="006E1804" w:rsidP="006E1804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</w:pPr>
      <w:r>
        <w:rPr>
          <w:rFonts w:ascii="Century Gothic" w:hAnsi="Century Gothic"/>
          <w:b/>
          <w:spacing w:val="20"/>
          <w:sz w:val="22"/>
          <w:szCs w:val="22"/>
          <w:u w:val="single"/>
          <w:lang w:val="es-MX"/>
        </w:rPr>
        <w:t>S                    /                     D</w:t>
      </w:r>
    </w:p>
    <w:p w:rsidR="006E1804" w:rsidRDefault="006E1804" w:rsidP="006E1804">
      <w:pPr>
        <w:spacing w:line="288" w:lineRule="auto"/>
        <w:ind w:right="-1" w:firstLine="1260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6E1804" w:rsidRPr="00D244F7" w:rsidRDefault="006E1804" w:rsidP="006E1804">
      <w:pPr>
        <w:spacing w:line="288" w:lineRule="auto"/>
        <w:ind w:right="-1" w:firstLine="3828"/>
        <w:jc w:val="both"/>
        <w:rPr>
          <w:rFonts w:ascii="Century Gothic" w:hAnsi="Century Gothic"/>
          <w:sz w:val="22"/>
          <w:szCs w:val="22"/>
          <w:lang w:val="es-MX"/>
        </w:rPr>
      </w:pPr>
      <w:r>
        <w:rPr>
          <w:rFonts w:ascii="Century Gothic" w:hAnsi="Century Gothic"/>
          <w:spacing w:val="20"/>
          <w:sz w:val="22"/>
          <w:szCs w:val="22"/>
          <w:lang w:val="es-MX"/>
        </w:rPr>
        <w:t xml:space="preserve">   </w:t>
      </w:r>
      <w:r>
        <w:rPr>
          <w:rFonts w:ascii="Century Gothic" w:hAnsi="Century Gothic"/>
          <w:spacing w:val="20"/>
          <w:sz w:val="22"/>
          <w:szCs w:val="22"/>
        </w:rPr>
        <w:t xml:space="preserve">Tengo el agrado de dirigirme a V.H. a fin de remitir adjunto Proyecto de Ley, mediante el cual se autoriza al Superior Gobierno de la Provincia de Entre Ríos a aceptar la transferencia formulada por la </w:t>
      </w:r>
      <w:r>
        <w:rPr>
          <w:rFonts w:ascii="Century Gothic" w:hAnsi="Century Gothic"/>
          <w:sz w:val="22"/>
          <w:szCs w:val="22"/>
          <w:lang w:val="es-MX"/>
        </w:rPr>
        <w:t>Municipalidad de Concordia, de un inmueble de su propiedad, ubicado en la Provincia de Entre Ríos, Departamento Concordia</w:t>
      </w:r>
      <w:r w:rsidRPr="00D244F7">
        <w:rPr>
          <w:rFonts w:ascii="Century Gothic" w:hAnsi="Century Gothic"/>
          <w:sz w:val="22"/>
          <w:szCs w:val="22"/>
          <w:lang w:val="es-MX"/>
        </w:rPr>
        <w:t xml:space="preserve">, Planta Urbana, </w:t>
      </w:r>
      <w:r>
        <w:rPr>
          <w:rFonts w:ascii="Century Gothic" w:hAnsi="Century Gothic"/>
          <w:sz w:val="22"/>
          <w:szCs w:val="22"/>
          <w:lang w:val="es-MX"/>
        </w:rPr>
        <w:t xml:space="preserve">manzana Nº 1806, Plano de Mensura Nº 59.913, Partida Provincial Nº 150.920, Partida Municipal Nº 1.806/027, Domicilio Parcelario: calle Estaban Echeverría esquina </w:t>
      </w:r>
      <w:proofErr w:type="spellStart"/>
      <w:r>
        <w:rPr>
          <w:rFonts w:ascii="Century Gothic" w:hAnsi="Century Gothic"/>
          <w:sz w:val="22"/>
          <w:szCs w:val="22"/>
          <w:lang w:val="es-MX"/>
        </w:rPr>
        <w:t>Morrogh</w:t>
      </w:r>
      <w:proofErr w:type="spellEnd"/>
      <w:r>
        <w:rPr>
          <w:rFonts w:ascii="Century Gothic" w:hAnsi="Century Gothic"/>
          <w:sz w:val="22"/>
          <w:szCs w:val="22"/>
          <w:lang w:val="es-MX"/>
        </w:rPr>
        <w:t xml:space="preserve"> Bernard, que consta de una superficie de Seiscientos Diecinueve Metros Cuadrados con Cincuenta y Seis Decímetros Cuadrados (619,56 m2); cuyos </w:t>
      </w:r>
      <w:r w:rsidRPr="00D244F7">
        <w:rPr>
          <w:rFonts w:ascii="Century Gothic" w:hAnsi="Century Gothic"/>
          <w:sz w:val="22"/>
          <w:szCs w:val="22"/>
          <w:lang w:val="es-MX"/>
        </w:rPr>
        <w:t>límites y linderos</w:t>
      </w:r>
      <w:r>
        <w:rPr>
          <w:rFonts w:ascii="Century Gothic" w:hAnsi="Century Gothic"/>
          <w:sz w:val="22"/>
          <w:szCs w:val="22"/>
          <w:lang w:val="es-MX"/>
        </w:rPr>
        <w:t xml:space="preserve"> son</w:t>
      </w:r>
      <w:r w:rsidRPr="00D244F7">
        <w:rPr>
          <w:rFonts w:ascii="Century Gothic" w:hAnsi="Century Gothic"/>
          <w:sz w:val="22"/>
          <w:szCs w:val="22"/>
          <w:lang w:val="es-MX"/>
        </w:rPr>
        <w:t xml:space="preserve">: </w:t>
      </w:r>
    </w:p>
    <w:p w:rsidR="006E1804" w:rsidRPr="00D244F7" w:rsidRDefault="006E1804" w:rsidP="006E1804">
      <w:pPr>
        <w:spacing w:line="288" w:lineRule="auto"/>
        <w:ind w:right="-1"/>
        <w:jc w:val="both"/>
        <w:outlineLvl w:val="0"/>
        <w:rPr>
          <w:rFonts w:ascii="Century Gothic" w:hAnsi="Century Gothic"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NORTE</w:t>
      </w:r>
      <w:r w:rsidRPr="00D244F7">
        <w:rPr>
          <w:rFonts w:ascii="Century Gothic" w:hAnsi="Century Gothic"/>
          <w:sz w:val="22"/>
          <w:szCs w:val="22"/>
          <w:lang w:val="es-MX"/>
        </w:rPr>
        <w:t xml:space="preserve">: </w:t>
      </w:r>
      <w:r>
        <w:rPr>
          <w:rFonts w:ascii="Century Gothic" w:hAnsi="Century Gothic"/>
          <w:sz w:val="22"/>
          <w:szCs w:val="22"/>
          <w:lang w:val="es-MX"/>
        </w:rPr>
        <w:t xml:space="preserve">Recta 1-2 S.77º 00’ E. de 34,42 m. lindando con calle </w:t>
      </w:r>
      <w:proofErr w:type="spellStart"/>
      <w:r>
        <w:rPr>
          <w:rFonts w:ascii="Century Gothic" w:hAnsi="Century Gothic"/>
          <w:sz w:val="22"/>
          <w:szCs w:val="22"/>
          <w:lang w:val="es-MX"/>
        </w:rPr>
        <w:t>Morrogh</w:t>
      </w:r>
      <w:proofErr w:type="spellEnd"/>
      <w:r>
        <w:rPr>
          <w:rFonts w:ascii="Century Gothic" w:hAnsi="Century Gothic"/>
          <w:sz w:val="22"/>
          <w:szCs w:val="22"/>
          <w:lang w:val="es-MX"/>
        </w:rPr>
        <w:t xml:space="preserve"> Bernard.</w:t>
      </w:r>
    </w:p>
    <w:p w:rsidR="006E1804" w:rsidRDefault="006E1804" w:rsidP="006E1804">
      <w:pPr>
        <w:spacing w:line="288" w:lineRule="auto"/>
        <w:ind w:right="-1"/>
        <w:jc w:val="both"/>
        <w:outlineLvl w:val="0"/>
        <w:rPr>
          <w:rFonts w:ascii="Century Gothic" w:hAnsi="Century Gothic"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ESTE</w:t>
      </w:r>
      <w:r w:rsidRPr="00D244F7">
        <w:rPr>
          <w:rFonts w:ascii="Century Gothic" w:hAnsi="Century Gothic"/>
          <w:b/>
          <w:sz w:val="22"/>
          <w:szCs w:val="22"/>
          <w:lang w:val="es-MX"/>
        </w:rPr>
        <w:t>:</w:t>
      </w:r>
      <w:r w:rsidRPr="00D244F7">
        <w:rPr>
          <w:rFonts w:ascii="Century Gothic" w:hAnsi="Century Gothic"/>
          <w:sz w:val="22"/>
          <w:szCs w:val="22"/>
          <w:lang w:val="es-MX"/>
        </w:rPr>
        <w:t xml:space="preserve"> </w:t>
      </w:r>
      <w:r>
        <w:rPr>
          <w:rFonts w:ascii="Century Gothic" w:hAnsi="Century Gothic"/>
          <w:sz w:val="22"/>
          <w:szCs w:val="22"/>
          <w:lang w:val="es-MX"/>
        </w:rPr>
        <w:t>Recta 2-19 S. 13º 00’ O. de 18 m. lindando con Lote 1 de esta subdivisión.</w:t>
      </w:r>
    </w:p>
    <w:p w:rsidR="006E1804" w:rsidRDefault="006E1804" w:rsidP="006E1804">
      <w:pPr>
        <w:spacing w:line="288" w:lineRule="auto"/>
        <w:ind w:right="-1"/>
        <w:jc w:val="both"/>
        <w:outlineLvl w:val="0"/>
        <w:rPr>
          <w:rFonts w:ascii="Century Gothic" w:hAnsi="Century Gothic"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SUR</w:t>
      </w:r>
      <w:r w:rsidRPr="00D244F7">
        <w:rPr>
          <w:rFonts w:ascii="Century Gothic" w:hAnsi="Century Gothic"/>
          <w:b/>
          <w:sz w:val="22"/>
          <w:szCs w:val="22"/>
          <w:lang w:val="es-MX"/>
        </w:rPr>
        <w:t>:</w:t>
      </w:r>
      <w:r w:rsidRPr="00D244F7">
        <w:rPr>
          <w:rFonts w:ascii="Century Gothic" w:hAnsi="Century Gothic"/>
          <w:sz w:val="22"/>
          <w:szCs w:val="22"/>
          <w:lang w:val="es-MX"/>
        </w:rPr>
        <w:t xml:space="preserve"> </w:t>
      </w:r>
      <w:r>
        <w:rPr>
          <w:rFonts w:ascii="Century Gothic" w:hAnsi="Century Gothic"/>
          <w:sz w:val="22"/>
          <w:szCs w:val="22"/>
          <w:lang w:val="es-MX"/>
        </w:rPr>
        <w:t>Recta 19-16 N. 77º 00’ O. de 34,43 m. lindando con Lote 9-10-11 de esta subdivisión.</w:t>
      </w:r>
    </w:p>
    <w:p w:rsidR="006E1804" w:rsidRDefault="006E1804" w:rsidP="006E1804">
      <w:pPr>
        <w:pStyle w:val="Sangra2detindependiente"/>
        <w:spacing w:line="288" w:lineRule="auto"/>
        <w:ind w:right="-1" w:firstLine="0"/>
        <w:rPr>
          <w:rFonts w:ascii="Century Gothic" w:hAnsi="Century Gothic"/>
          <w:sz w:val="22"/>
          <w:szCs w:val="22"/>
        </w:rPr>
      </w:pPr>
      <w:r w:rsidRPr="003B7D31">
        <w:rPr>
          <w:rFonts w:ascii="Century Gothic" w:hAnsi="Century Gothic"/>
          <w:b/>
          <w:sz w:val="22"/>
          <w:szCs w:val="22"/>
        </w:rPr>
        <w:t>OESTE:</w:t>
      </w:r>
      <w:r>
        <w:rPr>
          <w:rFonts w:ascii="Century Gothic" w:hAnsi="Century Gothic"/>
          <w:b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Recta 16-1 N. 13º 00’ E. de 18 m. lindando con calle Esteban Echeverría.</w:t>
      </w:r>
    </w:p>
    <w:p w:rsidR="006E1804" w:rsidRPr="00764A86" w:rsidRDefault="006E1804" w:rsidP="006E1804">
      <w:pPr>
        <w:pStyle w:val="Sangra2detindependiente"/>
        <w:spacing w:line="288" w:lineRule="auto"/>
        <w:ind w:right="-1" w:firstLine="0"/>
        <w:rPr>
          <w:rFonts w:ascii="Century Gothic" w:hAnsi="Century Gothic"/>
          <w:spacing w:val="20"/>
          <w:sz w:val="22"/>
          <w:szCs w:val="22"/>
        </w:rPr>
      </w:pPr>
    </w:p>
    <w:p w:rsidR="006E1804" w:rsidRPr="00764A86" w:rsidRDefault="006E1804" w:rsidP="006E1804">
      <w:pPr>
        <w:spacing w:line="288" w:lineRule="auto"/>
        <w:ind w:firstLine="3827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>
        <w:rPr>
          <w:rFonts w:ascii="Century Gothic" w:hAnsi="Century Gothic"/>
          <w:spacing w:val="20"/>
          <w:sz w:val="22"/>
          <w:szCs w:val="22"/>
          <w:lang w:val="es-MX"/>
        </w:rPr>
        <w:t>La donación del inmueble es con el cargo de destinarlo a la construcción de la Comisaría Décima de la ciudad de Concordia</w:t>
      </w:r>
      <w:r w:rsidRPr="00764A86">
        <w:rPr>
          <w:rFonts w:ascii="Century Gothic" w:hAnsi="Century Gothic"/>
          <w:spacing w:val="20"/>
          <w:sz w:val="22"/>
          <w:szCs w:val="22"/>
          <w:lang w:val="es-MX"/>
        </w:rPr>
        <w:t>.-</w:t>
      </w:r>
    </w:p>
    <w:p w:rsidR="006E1804" w:rsidRPr="00764A86" w:rsidRDefault="006E1804" w:rsidP="006E1804">
      <w:pPr>
        <w:spacing w:line="288" w:lineRule="auto"/>
        <w:ind w:firstLine="3827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 w:rsidRPr="00764A86">
        <w:rPr>
          <w:rFonts w:ascii="Century Gothic" w:hAnsi="Century Gothic"/>
          <w:spacing w:val="20"/>
          <w:sz w:val="22"/>
          <w:szCs w:val="22"/>
          <w:lang w:val="es-MX"/>
        </w:rPr>
        <w:t xml:space="preserve">  </w:t>
      </w:r>
    </w:p>
    <w:p w:rsidR="006E1804" w:rsidRDefault="006E1804" w:rsidP="006E1804">
      <w:pPr>
        <w:spacing w:line="288" w:lineRule="auto"/>
        <w:ind w:firstLine="3827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>
        <w:rPr>
          <w:rFonts w:ascii="Century Gothic" w:hAnsi="Century Gothic"/>
          <w:spacing w:val="20"/>
          <w:sz w:val="22"/>
          <w:szCs w:val="22"/>
          <w:lang w:val="es-MX"/>
        </w:rPr>
        <w:t xml:space="preserve">    </w:t>
      </w:r>
    </w:p>
    <w:p w:rsidR="006E1804" w:rsidRDefault="006E1804" w:rsidP="006E1804">
      <w:pPr>
        <w:spacing w:line="288" w:lineRule="auto"/>
        <w:ind w:firstLine="3827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  <w:r>
        <w:rPr>
          <w:rFonts w:ascii="Century Gothic" w:hAnsi="Century Gothic"/>
          <w:spacing w:val="20"/>
          <w:sz w:val="22"/>
          <w:szCs w:val="22"/>
          <w:lang w:val="es-MX"/>
        </w:rPr>
        <w:t>Dios guarde a V.H.</w:t>
      </w:r>
    </w:p>
    <w:p w:rsidR="006E1804" w:rsidRDefault="006E1804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6E1804" w:rsidRDefault="006E1804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6E1804" w:rsidRDefault="006E1804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6E1804" w:rsidRDefault="006E1804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6E1804" w:rsidRDefault="006E1804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6E1804" w:rsidRDefault="006E1804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6E1804" w:rsidRDefault="006E1804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6E1804" w:rsidRDefault="006E1804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6E1804" w:rsidRDefault="006E1804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6E1804" w:rsidRDefault="006E1804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6E1804" w:rsidRDefault="006E1804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6E1804" w:rsidRDefault="006E1804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5D5C2E" w:rsidRDefault="005D5C2E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  <w:r>
        <w:rPr>
          <w:rFonts w:ascii="Century Gothic" w:hAnsi="Century Gothic"/>
          <w:b/>
          <w:spacing w:val="20"/>
          <w:sz w:val="22"/>
          <w:szCs w:val="22"/>
          <w:lang w:val="es-MX"/>
        </w:rPr>
        <w:lastRenderedPageBreak/>
        <w:t>LA LEGISLATURA DE LA PROVINCIA DE ENTRE RÍOS</w:t>
      </w:r>
    </w:p>
    <w:p w:rsidR="005D5C2E" w:rsidRDefault="005D5C2E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5D5C2E" w:rsidRDefault="005D5C2E">
      <w:pPr>
        <w:spacing w:line="288" w:lineRule="auto"/>
        <w:ind w:right="-1"/>
        <w:jc w:val="center"/>
        <w:outlineLvl w:val="0"/>
        <w:rPr>
          <w:rFonts w:ascii="Century Gothic" w:hAnsi="Century Gothic"/>
          <w:b/>
          <w:spacing w:val="20"/>
          <w:sz w:val="22"/>
          <w:szCs w:val="22"/>
          <w:lang w:val="es-MX"/>
        </w:rPr>
      </w:pPr>
      <w:r>
        <w:rPr>
          <w:rFonts w:ascii="Century Gothic" w:hAnsi="Century Gothic"/>
          <w:b/>
          <w:spacing w:val="20"/>
          <w:sz w:val="22"/>
          <w:szCs w:val="22"/>
          <w:lang w:val="es-MX"/>
        </w:rPr>
        <w:t>SANCIONA CON FUERZA DE LEY:</w:t>
      </w:r>
    </w:p>
    <w:p w:rsidR="005D5C2E" w:rsidRDefault="005D5C2E">
      <w:pPr>
        <w:spacing w:line="288" w:lineRule="auto"/>
        <w:ind w:right="-1"/>
        <w:jc w:val="both"/>
        <w:rPr>
          <w:rFonts w:ascii="Century Gothic" w:hAnsi="Century Gothic"/>
          <w:spacing w:val="20"/>
          <w:sz w:val="22"/>
          <w:szCs w:val="22"/>
          <w:lang w:val="es-MX"/>
        </w:rPr>
      </w:pPr>
    </w:p>
    <w:p w:rsidR="00861CDC" w:rsidRPr="00D244F7" w:rsidRDefault="005D5C2E">
      <w:pPr>
        <w:spacing w:line="288" w:lineRule="auto"/>
        <w:ind w:right="-1"/>
        <w:jc w:val="both"/>
        <w:outlineLvl w:val="0"/>
        <w:rPr>
          <w:rFonts w:ascii="Century Gothic" w:hAnsi="Century Gothic"/>
          <w:sz w:val="22"/>
          <w:szCs w:val="22"/>
          <w:lang w:val="es-MX"/>
        </w:rPr>
      </w:pPr>
      <w:r w:rsidRPr="00D244F7">
        <w:rPr>
          <w:rFonts w:ascii="Century Gothic" w:hAnsi="Century Gothic"/>
          <w:b/>
          <w:sz w:val="22"/>
          <w:szCs w:val="22"/>
          <w:u w:val="single"/>
          <w:lang w:val="es-MX"/>
        </w:rPr>
        <w:t>ARTÍCULO 1°.-</w:t>
      </w:r>
      <w:r w:rsidRPr="00D244F7">
        <w:rPr>
          <w:rFonts w:ascii="Century Gothic" w:hAnsi="Century Gothic"/>
          <w:sz w:val="22"/>
          <w:szCs w:val="22"/>
          <w:lang w:val="es-MX"/>
        </w:rPr>
        <w:t xml:space="preserve"> Autorízase al Superior Gobierno de la Provincia de Entre Ríos, a aceptar </w:t>
      </w:r>
      <w:r w:rsidR="00764A86" w:rsidRPr="00D244F7">
        <w:rPr>
          <w:rFonts w:ascii="Century Gothic" w:hAnsi="Century Gothic"/>
          <w:sz w:val="22"/>
          <w:szCs w:val="22"/>
          <w:lang w:val="es-MX"/>
        </w:rPr>
        <w:t>la transferencia</w:t>
      </w:r>
      <w:r w:rsidR="0050297A" w:rsidRPr="00D244F7">
        <w:rPr>
          <w:rFonts w:ascii="Century Gothic" w:hAnsi="Century Gothic"/>
          <w:sz w:val="22"/>
          <w:szCs w:val="22"/>
          <w:lang w:val="es-MX"/>
        </w:rPr>
        <w:t xml:space="preserve"> formulada</w:t>
      </w:r>
      <w:r w:rsidRPr="00D244F7">
        <w:rPr>
          <w:rFonts w:ascii="Century Gothic" w:hAnsi="Century Gothic"/>
          <w:sz w:val="22"/>
          <w:szCs w:val="22"/>
          <w:lang w:val="es-MX"/>
        </w:rPr>
        <w:t xml:space="preserve"> por </w:t>
      </w:r>
      <w:r w:rsidR="0054740E">
        <w:rPr>
          <w:rFonts w:ascii="Century Gothic" w:hAnsi="Century Gothic"/>
          <w:sz w:val="22"/>
          <w:szCs w:val="22"/>
          <w:lang w:val="es-MX"/>
        </w:rPr>
        <w:t>la Municipalidad de Concordia, de un inmueble de su propiedad, ubicado en la Provincia de Entre Ríos, Departamento Concordia</w:t>
      </w:r>
      <w:r w:rsidR="00100F76" w:rsidRPr="00D244F7">
        <w:rPr>
          <w:rFonts w:ascii="Century Gothic" w:hAnsi="Century Gothic"/>
          <w:sz w:val="22"/>
          <w:szCs w:val="22"/>
          <w:lang w:val="es-MX"/>
        </w:rPr>
        <w:t xml:space="preserve">, </w:t>
      </w:r>
      <w:r w:rsidR="00001FF9" w:rsidRPr="00D244F7">
        <w:rPr>
          <w:rFonts w:ascii="Century Gothic" w:hAnsi="Century Gothic"/>
          <w:sz w:val="22"/>
          <w:szCs w:val="22"/>
          <w:lang w:val="es-MX"/>
        </w:rPr>
        <w:t>Planta Urbana</w:t>
      </w:r>
      <w:r w:rsidR="00100F76" w:rsidRPr="00D244F7">
        <w:rPr>
          <w:rFonts w:ascii="Century Gothic" w:hAnsi="Century Gothic"/>
          <w:sz w:val="22"/>
          <w:szCs w:val="22"/>
          <w:lang w:val="es-MX"/>
        </w:rPr>
        <w:t>,</w:t>
      </w:r>
      <w:r w:rsidR="00001FF9" w:rsidRPr="00D244F7">
        <w:rPr>
          <w:rFonts w:ascii="Century Gothic" w:hAnsi="Century Gothic"/>
          <w:sz w:val="22"/>
          <w:szCs w:val="22"/>
          <w:lang w:val="es-MX"/>
        </w:rPr>
        <w:t xml:space="preserve"> </w:t>
      </w:r>
      <w:r w:rsidR="0054740E">
        <w:rPr>
          <w:rFonts w:ascii="Century Gothic" w:hAnsi="Century Gothic"/>
          <w:sz w:val="22"/>
          <w:szCs w:val="22"/>
          <w:lang w:val="es-MX"/>
        </w:rPr>
        <w:t xml:space="preserve">manzana Nº 1806, Plano de Mensura Nº 59.913, Partida Provincial Nº 150.920, Partida Municipal Nº 1.806/027, Domicilio Parcelario: calle Estaban Echeverría esquina </w:t>
      </w:r>
      <w:proofErr w:type="spellStart"/>
      <w:r w:rsidR="0054740E">
        <w:rPr>
          <w:rFonts w:ascii="Century Gothic" w:hAnsi="Century Gothic"/>
          <w:sz w:val="22"/>
          <w:szCs w:val="22"/>
          <w:lang w:val="es-MX"/>
        </w:rPr>
        <w:t>Morrogh</w:t>
      </w:r>
      <w:proofErr w:type="spellEnd"/>
      <w:r w:rsidR="0054740E">
        <w:rPr>
          <w:rFonts w:ascii="Century Gothic" w:hAnsi="Century Gothic"/>
          <w:sz w:val="22"/>
          <w:szCs w:val="22"/>
          <w:lang w:val="es-MX"/>
        </w:rPr>
        <w:t xml:space="preserve"> Bernard, que consta de una superficie de Seiscientos Diecinueve Metros Cuadrados con Cincuenta y Seis Decímetros Cuadrados (619,56 m2); cuyos </w:t>
      </w:r>
      <w:r w:rsidRPr="00D244F7">
        <w:rPr>
          <w:rFonts w:ascii="Century Gothic" w:hAnsi="Century Gothic"/>
          <w:sz w:val="22"/>
          <w:szCs w:val="22"/>
          <w:lang w:val="es-MX"/>
        </w:rPr>
        <w:t>límites y linderos</w:t>
      </w:r>
      <w:r w:rsidR="0054740E">
        <w:rPr>
          <w:rFonts w:ascii="Century Gothic" w:hAnsi="Century Gothic"/>
          <w:sz w:val="22"/>
          <w:szCs w:val="22"/>
          <w:lang w:val="es-MX"/>
        </w:rPr>
        <w:t xml:space="preserve"> son</w:t>
      </w:r>
      <w:r w:rsidRPr="00D244F7">
        <w:rPr>
          <w:rFonts w:ascii="Century Gothic" w:hAnsi="Century Gothic"/>
          <w:sz w:val="22"/>
          <w:szCs w:val="22"/>
          <w:lang w:val="es-MX"/>
        </w:rPr>
        <w:t xml:space="preserve">: </w:t>
      </w:r>
    </w:p>
    <w:p w:rsidR="00861CDC" w:rsidRPr="00D244F7" w:rsidRDefault="0054740E">
      <w:pPr>
        <w:spacing w:line="288" w:lineRule="auto"/>
        <w:ind w:right="-1"/>
        <w:jc w:val="both"/>
        <w:outlineLvl w:val="0"/>
        <w:rPr>
          <w:rFonts w:ascii="Century Gothic" w:hAnsi="Century Gothic"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NORTE</w:t>
      </w:r>
      <w:r w:rsidR="005D5C2E" w:rsidRPr="00D244F7">
        <w:rPr>
          <w:rFonts w:ascii="Century Gothic" w:hAnsi="Century Gothic"/>
          <w:sz w:val="22"/>
          <w:szCs w:val="22"/>
          <w:lang w:val="es-MX"/>
        </w:rPr>
        <w:t xml:space="preserve">: </w:t>
      </w:r>
      <w:r>
        <w:rPr>
          <w:rFonts w:ascii="Century Gothic" w:hAnsi="Century Gothic"/>
          <w:sz w:val="22"/>
          <w:szCs w:val="22"/>
          <w:lang w:val="es-MX"/>
        </w:rPr>
        <w:t>Recta 1-2 S.77º</w:t>
      </w:r>
      <w:r w:rsidR="003B7D31">
        <w:rPr>
          <w:rFonts w:ascii="Century Gothic" w:hAnsi="Century Gothic"/>
          <w:sz w:val="22"/>
          <w:szCs w:val="22"/>
          <w:lang w:val="es-MX"/>
        </w:rPr>
        <w:t xml:space="preserve"> 00’ E. de 34,42 m. lindando con calle </w:t>
      </w:r>
      <w:proofErr w:type="spellStart"/>
      <w:r w:rsidR="003B7D31">
        <w:rPr>
          <w:rFonts w:ascii="Century Gothic" w:hAnsi="Century Gothic"/>
          <w:sz w:val="22"/>
          <w:szCs w:val="22"/>
          <w:lang w:val="es-MX"/>
        </w:rPr>
        <w:t>Morrogh</w:t>
      </w:r>
      <w:proofErr w:type="spellEnd"/>
      <w:r w:rsidR="003B7D31">
        <w:rPr>
          <w:rFonts w:ascii="Century Gothic" w:hAnsi="Century Gothic"/>
          <w:sz w:val="22"/>
          <w:szCs w:val="22"/>
          <w:lang w:val="es-MX"/>
        </w:rPr>
        <w:t xml:space="preserve"> Bernard.</w:t>
      </w:r>
    </w:p>
    <w:p w:rsidR="003B7D31" w:rsidRDefault="003B7D31" w:rsidP="00861CDC">
      <w:pPr>
        <w:spacing w:line="288" w:lineRule="auto"/>
        <w:ind w:right="-1"/>
        <w:jc w:val="both"/>
        <w:outlineLvl w:val="0"/>
        <w:rPr>
          <w:rFonts w:ascii="Century Gothic" w:hAnsi="Century Gothic"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ESTE</w:t>
      </w:r>
      <w:r w:rsidR="00861CDC" w:rsidRPr="00D244F7">
        <w:rPr>
          <w:rFonts w:ascii="Century Gothic" w:hAnsi="Century Gothic"/>
          <w:b/>
          <w:sz w:val="22"/>
          <w:szCs w:val="22"/>
          <w:lang w:val="es-MX"/>
        </w:rPr>
        <w:t>:</w:t>
      </w:r>
      <w:r w:rsidR="00861CDC" w:rsidRPr="00D244F7">
        <w:rPr>
          <w:rFonts w:ascii="Century Gothic" w:hAnsi="Century Gothic"/>
          <w:sz w:val="22"/>
          <w:szCs w:val="22"/>
          <w:lang w:val="es-MX"/>
        </w:rPr>
        <w:t xml:space="preserve"> </w:t>
      </w:r>
      <w:r>
        <w:rPr>
          <w:rFonts w:ascii="Century Gothic" w:hAnsi="Century Gothic"/>
          <w:sz w:val="22"/>
          <w:szCs w:val="22"/>
          <w:lang w:val="es-MX"/>
        </w:rPr>
        <w:t>Recta 2-19 S. 13º 00’ O. de 18 m. lindando con Lote 1 de esta subdivisión.</w:t>
      </w:r>
    </w:p>
    <w:p w:rsidR="003B7D31" w:rsidRDefault="003B7D31" w:rsidP="003B7D31">
      <w:pPr>
        <w:spacing w:line="288" w:lineRule="auto"/>
        <w:ind w:right="-1"/>
        <w:jc w:val="both"/>
        <w:outlineLvl w:val="0"/>
        <w:rPr>
          <w:rFonts w:ascii="Century Gothic" w:hAnsi="Century Gothic"/>
          <w:sz w:val="22"/>
          <w:szCs w:val="22"/>
          <w:lang w:val="es-MX"/>
        </w:rPr>
      </w:pPr>
      <w:r>
        <w:rPr>
          <w:rFonts w:ascii="Century Gothic" w:hAnsi="Century Gothic"/>
          <w:b/>
          <w:sz w:val="22"/>
          <w:szCs w:val="22"/>
          <w:lang w:val="es-MX"/>
        </w:rPr>
        <w:t>SUR</w:t>
      </w:r>
      <w:r w:rsidR="00861CDC" w:rsidRPr="00D244F7">
        <w:rPr>
          <w:rFonts w:ascii="Century Gothic" w:hAnsi="Century Gothic"/>
          <w:b/>
          <w:sz w:val="22"/>
          <w:szCs w:val="22"/>
          <w:lang w:val="es-MX"/>
        </w:rPr>
        <w:t>:</w:t>
      </w:r>
      <w:r w:rsidR="00861CDC" w:rsidRPr="00D244F7">
        <w:rPr>
          <w:rFonts w:ascii="Century Gothic" w:hAnsi="Century Gothic"/>
          <w:sz w:val="22"/>
          <w:szCs w:val="22"/>
          <w:lang w:val="es-MX"/>
        </w:rPr>
        <w:t xml:space="preserve"> </w:t>
      </w:r>
      <w:r>
        <w:rPr>
          <w:rFonts w:ascii="Century Gothic" w:hAnsi="Century Gothic"/>
          <w:sz w:val="22"/>
          <w:szCs w:val="22"/>
          <w:lang w:val="es-MX"/>
        </w:rPr>
        <w:t>Recta 19-16 N. 77º 00’ O. de 34,43 m. lindando con Lote 9-10-11 de esta subdivisión.</w:t>
      </w:r>
    </w:p>
    <w:p w:rsidR="003B7D31" w:rsidRDefault="003B7D31" w:rsidP="003B7D31">
      <w:pPr>
        <w:spacing w:line="288" w:lineRule="auto"/>
        <w:ind w:right="-1"/>
        <w:jc w:val="both"/>
        <w:outlineLvl w:val="0"/>
        <w:rPr>
          <w:rFonts w:ascii="Century Gothic" w:hAnsi="Century Gothic"/>
          <w:sz w:val="22"/>
          <w:szCs w:val="22"/>
          <w:lang w:val="es-MX"/>
        </w:rPr>
      </w:pPr>
      <w:r w:rsidRPr="003B7D31">
        <w:rPr>
          <w:rFonts w:ascii="Century Gothic" w:hAnsi="Century Gothic"/>
          <w:b/>
          <w:sz w:val="22"/>
          <w:szCs w:val="22"/>
          <w:lang w:val="es-MX"/>
        </w:rPr>
        <w:t>OESTE:</w:t>
      </w:r>
      <w:r>
        <w:rPr>
          <w:rFonts w:ascii="Century Gothic" w:hAnsi="Century Gothic"/>
          <w:b/>
          <w:sz w:val="22"/>
          <w:szCs w:val="22"/>
          <w:lang w:val="es-MX"/>
        </w:rPr>
        <w:t xml:space="preserve"> </w:t>
      </w:r>
      <w:r>
        <w:rPr>
          <w:rFonts w:ascii="Century Gothic" w:hAnsi="Century Gothic"/>
          <w:sz w:val="22"/>
          <w:szCs w:val="22"/>
          <w:lang w:val="es-MX"/>
        </w:rPr>
        <w:t xml:space="preserve">Recta 16-1 N. 13º 00’ E. de 18 m. lindando con calle Esteban </w:t>
      </w:r>
      <w:r w:rsidR="00BE7207">
        <w:rPr>
          <w:rFonts w:ascii="Century Gothic" w:hAnsi="Century Gothic"/>
          <w:sz w:val="22"/>
          <w:szCs w:val="22"/>
          <w:lang w:val="es-MX"/>
        </w:rPr>
        <w:t>Echeverría</w:t>
      </w:r>
      <w:r>
        <w:rPr>
          <w:rFonts w:ascii="Century Gothic" w:hAnsi="Century Gothic"/>
          <w:sz w:val="22"/>
          <w:szCs w:val="22"/>
          <w:lang w:val="es-MX"/>
        </w:rPr>
        <w:t>.</w:t>
      </w:r>
    </w:p>
    <w:p w:rsidR="00D17D34" w:rsidRPr="00D244F7" w:rsidRDefault="00D17D34" w:rsidP="00861CDC">
      <w:pPr>
        <w:spacing w:line="288" w:lineRule="auto"/>
        <w:ind w:right="-1"/>
        <w:jc w:val="both"/>
        <w:outlineLvl w:val="0"/>
        <w:rPr>
          <w:rFonts w:ascii="Century Gothic" w:hAnsi="Century Gothic"/>
          <w:sz w:val="22"/>
          <w:szCs w:val="22"/>
          <w:lang w:val="es-MX"/>
        </w:rPr>
      </w:pPr>
    </w:p>
    <w:p w:rsidR="005D5C2E" w:rsidRPr="00D244F7" w:rsidRDefault="00D17D34" w:rsidP="00861CDC">
      <w:pPr>
        <w:spacing w:line="288" w:lineRule="auto"/>
        <w:ind w:right="-1"/>
        <w:jc w:val="both"/>
        <w:outlineLvl w:val="0"/>
        <w:rPr>
          <w:rFonts w:ascii="Century Gothic" w:hAnsi="Century Gothic"/>
          <w:sz w:val="22"/>
          <w:szCs w:val="22"/>
          <w:lang w:val="es-MX"/>
        </w:rPr>
      </w:pPr>
      <w:r w:rsidRPr="00D244F7">
        <w:rPr>
          <w:rFonts w:ascii="Century Gothic" w:hAnsi="Century Gothic"/>
          <w:b/>
          <w:sz w:val="22"/>
          <w:szCs w:val="22"/>
          <w:u w:val="single"/>
          <w:lang w:val="es-MX"/>
        </w:rPr>
        <w:t>ARTÍCULO 2º.-</w:t>
      </w:r>
      <w:r w:rsidRPr="00D244F7">
        <w:rPr>
          <w:rFonts w:ascii="Century Gothic" w:hAnsi="Century Gothic"/>
          <w:sz w:val="22"/>
          <w:szCs w:val="22"/>
          <w:lang w:val="es-MX"/>
        </w:rPr>
        <w:t xml:space="preserve"> </w:t>
      </w:r>
      <w:r w:rsidR="00C808C7">
        <w:rPr>
          <w:rFonts w:ascii="Century Gothic" w:hAnsi="Century Gothic"/>
          <w:sz w:val="22"/>
          <w:szCs w:val="22"/>
          <w:lang w:val="es-MX"/>
        </w:rPr>
        <w:t xml:space="preserve"> La donación del inmueble objeto de la misma se realiza con destino </w:t>
      </w:r>
      <w:r w:rsidR="003B7D31">
        <w:rPr>
          <w:rFonts w:ascii="Century Gothic" w:hAnsi="Century Gothic"/>
          <w:sz w:val="22"/>
          <w:szCs w:val="22"/>
          <w:lang w:val="es-MX"/>
        </w:rPr>
        <w:t>a la construcción de la Comisaría Décima de la ciudad de Concordia</w:t>
      </w:r>
      <w:r w:rsidR="005D5C2E" w:rsidRPr="00D244F7">
        <w:rPr>
          <w:rFonts w:ascii="Century Gothic" w:hAnsi="Century Gothic"/>
          <w:sz w:val="22"/>
          <w:szCs w:val="22"/>
          <w:lang w:val="es-MX"/>
        </w:rPr>
        <w:t xml:space="preserve">.- </w:t>
      </w:r>
    </w:p>
    <w:p w:rsidR="005D5C2E" w:rsidRPr="00D244F7" w:rsidRDefault="005D5C2E">
      <w:pPr>
        <w:spacing w:line="288" w:lineRule="auto"/>
        <w:ind w:right="-1"/>
        <w:jc w:val="both"/>
        <w:outlineLvl w:val="0"/>
        <w:rPr>
          <w:rFonts w:ascii="Century Gothic" w:hAnsi="Century Gothic"/>
          <w:sz w:val="22"/>
          <w:szCs w:val="22"/>
          <w:lang w:val="es-MX"/>
        </w:rPr>
      </w:pPr>
    </w:p>
    <w:p w:rsidR="005D5C2E" w:rsidRPr="00D244F7" w:rsidRDefault="00D17D34">
      <w:pPr>
        <w:spacing w:line="288" w:lineRule="auto"/>
        <w:ind w:right="-1"/>
        <w:jc w:val="both"/>
        <w:rPr>
          <w:rFonts w:ascii="Century Gothic" w:hAnsi="Century Gothic"/>
          <w:sz w:val="22"/>
          <w:szCs w:val="22"/>
          <w:lang w:val="es-MX"/>
        </w:rPr>
      </w:pPr>
      <w:r w:rsidRPr="00D244F7">
        <w:rPr>
          <w:rFonts w:ascii="Century Gothic" w:hAnsi="Century Gothic"/>
          <w:b/>
          <w:sz w:val="22"/>
          <w:szCs w:val="22"/>
          <w:u w:val="single"/>
          <w:lang w:val="es-MX"/>
        </w:rPr>
        <w:t>ARTÍCULO 3</w:t>
      </w:r>
      <w:r w:rsidR="005D5C2E" w:rsidRPr="00D244F7">
        <w:rPr>
          <w:rFonts w:ascii="Century Gothic" w:hAnsi="Century Gothic"/>
          <w:b/>
          <w:sz w:val="22"/>
          <w:szCs w:val="22"/>
          <w:u w:val="single"/>
          <w:lang w:val="es-MX"/>
        </w:rPr>
        <w:t>°.-</w:t>
      </w:r>
      <w:r w:rsidR="005D5C2E" w:rsidRPr="00D244F7">
        <w:rPr>
          <w:rFonts w:ascii="Century Gothic" w:hAnsi="Century Gothic"/>
          <w:sz w:val="22"/>
          <w:szCs w:val="22"/>
          <w:lang w:val="es-MX"/>
        </w:rPr>
        <w:t xml:space="preserve"> </w:t>
      </w:r>
      <w:proofErr w:type="spellStart"/>
      <w:r w:rsidR="005D5C2E" w:rsidRPr="00D244F7">
        <w:rPr>
          <w:rFonts w:ascii="Century Gothic" w:hAnsi="Century Gothic"/>
          <w:sz w:val="22"/>
          <w:szCs w:val="22"/>
          <w:lang w:val="es-MX"/>
        </w:rPr>
        <w:t>Facúltase</w:t>
      </w:r>
      <w:proofErr w:type="spellEnd"/>
      <w:r w:rsidR="005D5C2E" w:rsidRPr="00D244F7">
        <w:rPr>
          <w:rFonts w:ascii="Century Gothic" w:hAnsi="Century Gothic"/>
          <w:sz w:val="22"/>
          <w:szCs w:val="22"/>
          <w:lang w:val="es-MX"/>
        </w:rPr>
        <w:t xml:space="preserve"> a la </w:t>
      </w:r>
      <w:r w:rsidR="005D5C2E" w:rsidRPr="00D244F7">
        <w:rPr>
          <w:rFonts w:ascii="Century Gothic" w:hAnsi="Century Gothic"/>
          <w:sz w:val="22"/>
          <w:szCs w:val="22"/>
          <w:lang w:val="es-ES_tradnl"/>
        </w:rPr>
        <w:t>Escribanía Mayor de Gobierno</w:t>
      </w:r>
      <w:r w:rsidR="005D5C2E" w:rsidRPr="00D244F7">
        <w:rPr>
          <w:rFonts w:ascii="Century Gothic" w:hAnsi="Century Gothic"/>
          <w:sz w:val="22"/>
          <w:szCs w:val="22"/>
          <w:lang w:val="es-MX"/>
        </w:rPr>
        <w:t xml:space="preserve"> a realizar los trámites conducentes para la efectiva transferencia de dominio del inmueble individualizado, a favor del Superior Gobierno de la Provincia de Entre Ríos.-</w:t>
      </w:r>
    </w:p>
    <w:p w:rsidR="00D244F7" w:rsidRDefault="00C808C7">
      <w:pPr>
        <w:spacing w:line="288" w:lineRule="auto"/>
        <w:ind w:right="-1"/>
        <w:jc w:val="both"/>
        <w:rPr>
          <w:rFonts w:ascii="Century Gothic" w:hAnsi="Century Gothic"/>
          <w:b/>
          <w:sz w:val="22"/>
          <w:szCs w:val="22"/>
          <w:u w:val="single"/>
          <w:lang w:val="es-MX"/>
        </w:rPr>
      </w:pPr>
      <w:r>
        <w:rPr>
          <w:rFonts w:ascii="Century Gothic" w:hAnsi="Century Gothic"/>
          <w:b/>
          <w:sz w:val="22"/>
          <w:szCs w:val="22"/>
          <w:u w:val="single"/>
          <w:lang w:val="es-MX"/>
        </w:rPr>
        <w:t xml:space="preserve"> </w:t>
      </w:r>
    </w:p>
    <w:p w:rsidR="005D5C2E" w:rsidRPr="00D244F7" w:rsidRDefault="00D17D34">
      <w:pPr>
        <w:spacing w:line="288" w:lineRule="auto"/>
        <w:ind w:right="-1"/>
        <w:jc w:val="both"/>
        <w:rPr>
          <w:rFonts w:ascii="Century Gothic" w:hAnsi="Century Gothic"/>
          <w:sz w:val="22"/>
          <w:szCs w:val="22"/>
          <w:lang w:val="es-MX"/>
        </w:rPr>
      </w:pPr>
      <w:r w:rsidRPr="00D244F7">
        <w:rPr>
          <w:rFonts w:ascii="Century Gothic" w:hAnsi="Century Gothic"/>
          <w:b/>
          <w:sz w:val="22"/>
          <w:szCs w:val="22"/>
          <w:u w:val="single"/>
          <w:lang w:val="es-MX"/>
        </w:rPr>
        <w:t>ARTÍCULO 4</w:t>
      </w:r>
      <w:r w:rsidR="005D5C2E" w:rsidRPr="00D244F7">
        <w:rPr>
          <w:rFonts w:ascii="Century Gothic" w:hAnsi="Century Gothic"/>
          <w:b/>
          <w:sz w:val="22"/>
          <w:szCs w:val="22"/>
          <w:u w:val="single"/>
          <w:lang w:val="es-MX"/>
        </w:rPr>
        <w:t>°.-</w:t>
      </w:r>
      <w:r w:rsidR="005D5C2E" w:rsidRPr="00D244F7">
        <w:rPr>
          <w:rFonts w:ascii="Century Gothic" w:hAnsi="Century Gothic"/>
          <w:sz w:val="22"/>
          <w:szCs w:val="22"/>
          <w:lang w:val="es-MX"/>
        </w:rPr>
        <w:t xml:space="preserve"> C</w:t>
      </w:r>
      <w:r w:rsidRPr="00D244F7">
        <w:rPr>
          <w:rFonts w:ascii="Century Gothic" w:hAnsi="Century Gothic"/>
          <w:sz w:val="22"/>
          <w:szCs w:val="22"/>
          <w:lang w:val="es-MX"/>
        </w:rPr>
        <w:t>omuníquese</w:t>
      </w:r>
      <w:r w:rsidR="005D5C2E" w:rsidRPr="00D244F7">
        <w:rPr>
          <w:rFonts w:ascii="Century Gothic" w:hAnsi="Century Gothic"/>
          <w:sz w:val="22"/>
          <w:szCs w:val="22"/>
          <w:lang w:val="es-MX"/>
        </w:rPr>
        <w:t xml:space="preserve">, </w:t>
      </w:r>
      <w:r w:rsidRPr="00D244F7">
        <w:rPr>
          <w:rFonts w:ascii="Century Gothic" w:hAnsi="Century Gothic"/>
          <w:sz w:val="22"/>
          <w:szCs w:val="22"/>
          <w:lang w:val="es-MX"/>
        </w:rPr>
        <w:t>etcétera</w:t>
      </w:r>
      <w:r w:rsidR="005D5C2E" w:rsidRPr="00D244F7">
        <w:rPr>
          <w:rFonts w:ascii="Century Gothic" w:hAnsi="Century Gothic"/>
          <w:sz w:val="22"/>
          <w:szCs w:val="22"/>
          <w:lang w:val="es-MX"/>
        </w:rPr>
        <w:t>.-</w:t>
      </w:r>
    </w:p>
    <w:p w:rsidR="00D244F7" w:rsidRDefault="00D244F7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D244F7" w:rsidRDefault="00D244F7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D244F7" w:rsidRDefault="00D244F7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D244F7" w:rsidRDefault="00D244F7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3B7D31" w:rsidRDefault="003B7D31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3B7D31" w:rsidRDefault="003B7D31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3B7D31" w:rsidRDefault="003B7D31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3B7D31" w:rsidRDefault="003B7D31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p w:rsidR="003B7D31" w:rsidRDefault="003B7D31">
      <w:pPr>
        <w:spacing w:line="288" w:lineRule="auto"/>
        <w:ind w:right="-1"/>
        <w:jc w:val="both"/>
        <w:rPr>
          <w:rFonts w:ascii="Century Gothic" w:hAnsi="Century Gothic"/>
          <w:b/>
          <w:spacing w:val="20"/>
          <w:sz w:val="22"/>
          <w:szCs w:val="22"/>
          <w:lang w:val="es-MX"/>
        </w:rPr>
      </w:pPr>
    </w:p>
    <w:sectPr w:rsidR="003B7D31" w:rsidSect="00BE7207">
      <w:headerReference w:type="default" r:id="rId6"/>
      <w:pgSz w:w="11906" w:h="16838"/>
      <w:pgMar w:top="3402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C07" w:rsidRDefault="005B1C07">
      <w:r>
        <w:separator/>
      </w:r>
    </w:p>
  </w:endnote>
  <w:endnote w:type="continuationSeparator" w:id="0">
    <w:p w:rsidR="005B1C07" w:rsidRDefault="005B1C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C07" w:rsidRDefault="005B1C07">
      <w:r>
        <w:separator/>
      </w:r>
    </w:p>
  </w:footnote>
  <w:footnote w:type="continuationSeparator" w:id="0">
    <w:p w:rsidR="005B1C07" w:rsidRDefault="005B1C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91C" w:rsidRDefault="003B591C">
    <w:pPr>
      <w:pStyle w:val="Encabezado"/>
    </w:pPr>
  </w:p>
  <w:p w:rsidR="003B591C" w:rsidRDefault="003B591C">
    <w:pPr>
      <w:pStyle w:val="Encabezado"/>
    </w:pPr>
  </w:p>
  <w:p w:rsidR="003B591C" w:rsidRDefault="003B591C">
    <w:pPr>
      <w:pStyle w:val="Encabezado"/>
    </w:pPr>
  </w:p>
  <w:p w:rsidR="003B591C" w:rsidRDefault="003B591C">
    <w:pPr>
      <w:pStyle w:val="Encabezado"/>
    </w:pPr>
  </w:p>
  <w:p w:rsidR="003B591C" w:rsidRDefault="003B591C">
    <w:pPr>
      <w:pStyle w:val="Encabezado"/>
    </w:pPr>
  </w:p>
  <w:p w:rsidR="003B591C" w:rsidRDefault="003B591C">
    <w:pPr>
      <w:pStyle w:val="Encabezado"/>
    </w:pPr>
  </w:p>
  <w:p w:rsidR="003B591C" w:rsidRDefault="003B591C">
    <w:pPr>
      <w:pStyle w:val="Encabezado"/>
    </w:pPr>
  </w:p>
  <w:p w:rsidR="003B591C" w:rsidRDefault="003B59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activeWritingStyle w:appName="MSWord" w:lang="es-AR" w:vendorID="64" w:dllVersion="131078" w:nlCheck="1" w:checkStyle="1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4B7"/>
    <w:rsid w:val="00001FF9"/>
    <w:rsid w:val="0002232B"/>
    <w:rsid w:val="00026FB6"/>
    <w:rsid w:val="0007578E"/>
    <w:rsid w:val="00100F76"/>
    <w:rsid w:val="002146F8"/>
    <w:rsid w:val="0032337B"/>
    <w:rsid w:val="003242D0"/>
    <w:rsid w:val="003B591C"/>
    <w:rsid w:val="003B7D31"/>
    <w:rsid w:val="003D2F70"/>
    <w:rsid w:val="00467748"/>
    <w:rsid w:val="004A023E"/>
    <w:rsid w:val="004D6621"/>
    <w:rsid w:val="004F7585"/>
    <w:rsid w:val="0050297A"/>
    <w:rsid w:val="005151CD"/>
    <w:rsid w:val="0054740E"/>
    <w:rsid w:val="005B1C07"/>
    <w:rsid w:val="005C4C41"/>
    <w:rsid w:val="005D5C2E"/>
    <w:rsid w:val="005E16F1"/>
    <w:rsid w:val="006632AF"/>
    <w:rsid w:val="00676CEE"/>
    <w:rsid w:val="006E1804"/>
    <w:rsid w:val="007418A4"/>
    <w:rsid w:val="00764A86"/>
    <w:rsid w:val="00770A21"/>
    <w:rsid w:val="007A14C4"/>
    <w:rsid w:val="0082335A"/>
    <w:rsid w:val="00861CDC"/>
    <w:rsid w:val="008A6333"/>
    <w:rsid w:val="008C5917"/>
    <w:rsid w:val="009C70E2"/>
    <w:rsid w:val="009D40AA"/>
    <w:rsid w:val="009D45D9"/>
    <w:rsid w:val="00B81A85"/>
    <w:rsid w:val="00BE7207"/>
    <w:rsid w:val="00C44F91"/>
    <w:rsid w:val="00C622A4"/>
    <w:rsid w:val="00C62CBE"/>
    <w:rsid w:val="00C808C7"/>
    <w:rsid w:val="00D17D34"/>
    <w:rsid w:val="00D244F7"/>
    <w:rsid w:val="00D705CD"/>
    <w:rsid w:val="00D714B7"/>
    <w:rsid w:val="00DB32E0"/>
    <w:rsid w:val="00DC3DA0"/>
    <w:rsid w:val="00DF0DF5"/>
    <w:rsid w:val="00EC0A2D"/>
    <w:rsid w:val="00EF252B"/>
    <w:rsid w:val="00F3073E"/>
    <w:rsid w:val="00F5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FF26A8C-9B2B-4E1B-AE35-51C8B3274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Comic Sans MS" w:hAnsi="Comic Sans MS"/>
      <w:szCs w:val="20"/>
      <w:u w:val="single"/>
      <w:lang w:val="es-ES_tradnl"/>
    </w:rPr>
  </w:style>
  <w:style w:type="character" w:default="1" w:styleId="Fuentedeprrafopredeter">
    <w:name w:val="Default Paragraph Font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rPr>
      <w:rFonts w:ascii="Comic Sans MS" w:eastAsia="Times New Roman" w:hAnsi="Comic Sans MS" w:cs="Times New Roman"/>
      <w:sz w:val="24"/>
      <w:szCs w:val="20"/>
      <w:u w:val="single"/>
      <w:lang w:val="es-ES_tradnl" w:eastAsia="es-ES"/>
    </w:rPr>
  </w:style>
  <w:style w:type="paragraph" w:styleId="Textoindependiente">
    <w:name w:val="Body Text"/>
    <w:basedOn w:val="Normal"/>
    <w:semiHidden/>
    <w:pPr>
      <w:jc w:val="both"/>
    </w:pPr>
    <w:rPr>
      <w:szCs w:val="20"/>
      <w:lang w:val="es-AR"/>
    </w:rPr>
  </w:style>
  <w:style w:type="character" w:customStyle="1" w:styleId="TextoindependienteCar">
    <w:name w:val="Texto independiente Car"/>
    <w:semiHidden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Sangradetextonormal">
    <w:name w:val="Body Text Indent"/>
    <w:basedOn w:val="Normal"/>
    <w:semiHidden/>
    <w:pPr>
      <w:spacing w:line="360" w:lineRule="auto"/>
      <w:ind w:right="44" w:firstLine="1584"/>
      <w:jc w:val="both"/>
      <w:outlineLvl w:val="0"/>
    </w:pPr>
    <w:rPr>
      <w:rFonts w:ascii="Comic Sans MS" w:hAnsi="Comic Sans MS"/>
      <w:lang w:val="es-MX"/>
    </w:rPr>
  </w:style>
  <w:style w:type="character" w:customStyle="1" w:styleId="SangradetextonormalCar">
    <w:name w:val="Sangría de texto normal Car"/>
    <w:semiHidden/>
    <w:rPr>
      <w:rFonts w:ascii="Comic Sans MS" w:eastAsia="Times New Roman" w:hAnsi="Comic Sans MS" w:cs="Times New Roman"/>
      <w:sz w:val="24"/>
      <w:szCs w:val="24"/>
      <w:lang w:val="es-MX" w:eastAsia="es-ES"/>
    </w:rPr>
  </w:style>
  <w:style w:type="paragraph" w:styleId="Sangra2detindependiente">
    <w:name w:val="Body Text Indent 2"/>
    <w:basedOn w:val="Normal"/>
    <w:semiHidden/>
    <w:pPr>
      <w:spacing w:line="360" w:lineRule="auto"/>
      <w:ind w:right="-885" w:firstLine="1620"/>
      <w:jc w:val="both"/>
    </w:pPr>
    <w:rPr>
      <w:lang w:val="es-MX"/>
    </w:rPr>
  </w:style>
  <w:style w:type="character" w:customStyle="1" w:styleId="Sangra2detindependienteCar">
    <w:name w:val="Sangría 2 de t. independiente Car"/>
    <w:semiHidden/>
    <w:rPr>
      <w:rFonts w:ascii="Times New Roman" w:eastAsia="Times New Roman" w:hAnsi="Times New Roman" w:cs="Times New Roman"/>
      <w:sz w:val="24"/>
      <w:szCs w:val="24"/>
      <w:lang w:val="es-MX" w:eastAsia="es-ES"/>
    </w:rPr>
  </w:style>
  <w:style w:type="character" w:customStyle="1" w:styleId="FontStyle19">
    <w:name w:val="Font Style19"/>
    <w:rPr>
      <w:rFonts w:ascii="Arial" w:hAnsi="Arial" w:cs="Arial"/>
      <w:color w:val="000000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D17D3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D17D34"/>
    <w:rPr>
      <w:rFonts w:ascii="Times New Roman" w:eastAsia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D17D3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rsid w:val="00D17D3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LEGISLATURA DE LA PROVINCIA DE ENTRE RÍOS</vt:lpstr>
    </vt:vector>
  </TitlesOfParts>
  <Company>CGE</Company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LEGISLATURA DE LA PROVINCIA DE ENTRE RÍOS</dc:title>
  <dc:subject/>
  <dc:creator>Despacho1</dc:creator>
  <cp:keywords/>
  <cp:lastModifiedBy>Senado</cp:lastModifiedBy>
  <cp:revision>2</cp:revision>
  <cp:lastPrinted>2018-12-17T13:58:00Z</cp:lastPrinted>
  <dcterms:created xsi:type="dcterms:W3CDTF">2019-02-25T13:19:00Z</dcterms:created>
  <dcterms:modified xsi:type="dcterms:W3CDTF">2019-02-25T13:19:00Z</dcterms:modified>
</cp:coreProperties>
</file>