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B5" w:rsidRPr="002542CC" w:rsidRDefault="00BF6EB5" w:rsidP="00BF6EB5">
      <w:pPr>
        <w:spacing w:line="288" w:lineRule="auto"/>
        <w:ind w:right="-882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  <w:bookmarkStart w:id="0" w:name="_GoBack"/>
      <w:bookmarkEnd w:id="0"/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A LA HONORABLE LEG</w:t>
      </w:r>
      <w:r>
        <w:rPr>
          <w:rFonts w:ascii="Century Gothic" w:hAnsi="Century Gothic"/>
          <w:b/>
          <w:spacing w:val="20"/>
          <w:sz w:val="22"/>
          <w:szCs w:val="22"/>
          <w:lang w:val="es-MX"/>
        </w:rPr>
        <w:t>I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SLATURA</w:t>
      </w:r>
    </w:p>
    <w:p w:rsidR="00BF6EB5" w:rsidRPr="002542CC" w:rsidRDefault="00BF6EB5" w:rsidP="00BF6EB5">
      <w:pPr>
        <w:spacing w:line="288" w:lineRule="auto"/>
        <w:ind w:right="-882"/>
        <w:jc w:val="both"/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S                      /                   D</w:t>
      </w:r>
    </w:p>
    <w:p w:rsidR="00BF6EB5" w:rsidRPr="002542CC" w:rsidRDefault="00BF6EB5" w:rsidP="00BF6EB5">
      <w:pPr>
        <w:spacing w:line="288" w:lineRule="auto"/>
        <w:ind w:left="540" w:right="-885" w:firstLine="126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Pr="002542CC" w:rsidRDefault="00BF6EB5" w:rsidP="00BF6EB5">
      <w:pPr>
        <w:spacing w:line="288" w:lineRule="auto"/>
        <w:ind w:left="540" w:right="-885" w:firstLine="126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  </w:t>
      </w:r>
    </w:p>
    <w:p w:rsidR="00BF6EB5" w:rsidRPr="002542CC" w:rsidRDefault="00BF6EB5" w:rsidP="00BF6EB5">
      <w:pPr>
        <w:pStyle w:val="Sangradetextonormal"/>
        <w:spacing w:line="288" w:lineRule="auto"/>
        <w:ind w:firstLine="3828"/>
        <w:rPr>
          <w:rFonts w:ascii="Century Gothic" w:hAnsi="Century Gothic"/>
          <w:spacing w:val="20"/>
          <w:sz w:val="22"/>
          <w:szCs w:val="22"/>
        </w:rPr>
      </w:pPr>
      <w:r w:rsidRPr="002542CC">
        <w:rPr>
          <w:rFonts w:ascii="Century Gothic" w:hAnsi="Century Gothic"/>
          <w:spacing w:val="20"/>
          <w:sz w:val="22"/>
          <w:szCs w:val="22"/>
        </w:rPr>
        <w:t>Tengo el agrado de dirigirme a V.H. a fin de remitir adjunto Proyecto de Ley mediante el cual se autoriza al Superior Gobierno de la Provincia de Entre Ríos, a ofrecer en donación un inmueble a la Municipalidad de Villa Urquiza, con el cargo de destinarlo a calle pública.-</w:t>
      </w:r>
    </w:p>
    <w:p w:rsidR="00BF6EB5" w:rsidRPr="002542CC" w:rsidRDefault="00BF6EB5" w:rsidP="00BF6EB5">
      <w:pPr>
        <w:spacing w:line="288" w:lineRule="auto"/>
        <w:ind w:right="-885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Pr="002542CC" w:rsidRDefault="00BF6EB5" w:rsidP="00BF6EB5">
      <w:pPr>
        <w:pStyle w:val="Sangradetextonormal"/>
        <w:spacing w:line="288" w:lineRule="auto"/>
        <w:ind w:firstLine="3828"/>
        <w:rPr>
          <w:rFonts w:ascii="Century Gothic" w:hAnsi="Century Gothic"/>
          <w:spacing w:val="20"/>
          <w:sz w:val="22"/>
          <w:szCs w:val="22"/>
        </w:rPr>
      </w:pPr>
      <w:r w:rsidRPr="002542CC">
        <w:rPr>
          <w:rFonts w:ascii="Century Gothic" w:hAnsi="Century Gothic"/>
          <w:spacing w:val="20"/>
          <w:sz w:val="22"/>
          <w:szCs w:val="22"/>
        </w:rPr>
        <w:t>Dicho inmueble se individualiza como Lote 2 con Plano de Mensura Nº 162.869, Partida Provincial Nº 172.103, e1 que consta de una Superficie de 1.854,99 m</w:t>
      </w:r>
      <w:r w:rsidRPr="0020484D">
        <w:rPr>
          <w:rFonts w:ascii="Century Gothic" w:hAnsi="Century Gothic"/>
          <w:spacing w:val="20"/>
          <w:sz w:val="22"/>
          <w:szCs w:val="22"/>
          <w:vertAlign w:val="superscript"/>
        </w:rPr>
        <w:t>2</w:t>
      </w:r>
      <w:r w:rsidRPr="002542CC">
        <w:rPr>
          <w:rFonts w:ascii="Century Gothic" w:hAnsi="Century Gothic"/>
          <w:spacing w:val="20"/>
          <w:sz w:val="22"/>
          <w:szCs w:val="22"/>
        </w:rPr>
        <w:t>., ubicado en la Provincia de Entre Ríos, Departamento Paraná, Distrito Tala, Colonia Nueva de Villa Urquiza, Ejido Villa Urquiza, Chacra Nº 79.-</w:t>
      </w:r>
    </w:p>
    <w:p w:rsidR="00BF6EB5" w:rsidRPr="002542CC" w:rsidRDefault="00BF6EB5" w:rsidP="00BF6EB5">
      <w:pPr>
        <w:pStyle w:val="Sangradetextonormal"/>
        <w:spacing w:line="288" w:lineRule="auto"/>
        <w:ind w:firstLine="3828"/>
        <w:rPr>
          <w:rFonts w:ascii="Century Gothic" w:hAnsi="Century Gothic"/>
          <w:spacing w:val="20"/>
          <w:sz w:val="22"/>
          <w:szCs w:val="22"/>
        </w:rPr>
      </w:pPr>
    </w:p>
    <w:p w:rsidR="00BF6EB5" w:rsidRDefault="00BF6EB5" w:rsidP="00BF6EB5">
      <w:pPr>
        <w:spacing w:line="288" w:lineRule="auto"/>
        <w:ind w:right="-885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Mediante la presente donación se propiciará el trazado de una calle pública en virtud del emplazamiento de viviendas que concretará el Instituto Autárquico de Planeamiento y Vivienda dando solución a los problemas habitacionales de la población de la zona rural evitando así la migración, salvaguardando la matrícula del establecimiento educativo.-</w:t>
      </w:r>
    </w:p>
    <w:p w:rsidR="00BF6EB5" w:rsidRPr="002542CC" w:rsidRDefault="00BF6EB5" w:rsidP="00BF6EB5">
      <w:pPr>
        <w:spacing w:line="288" w:lineRule="auto"/>
        <w:ind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Pr="002542CC" w:rsidRDefault="00BF6EB5" w:rsidP="00BF6EB5">
      <w:pPr>
        <w:spacing w:line="288" w:lineRule="auto"/>
        <w:ind w:right="-885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En este marco, se considera oportuno ofrecer en donación a la Municipalidad de Villa Urquiza el inmueble antes individualizado.-</w:t>
      </w:r>
    </w:p>
    <w:p w:rsidR="00BF6EB5" w:rsidRPr="002542CC" w:rsidRDefault="00BF6EB5" w:rsidP="00BF6EB5">
      <w:pPr>
        <w:spacing w:line="288" w:lineRule="auto"/>
        <w:ind w:right="-885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 </w:t>
      </w:r>
    </w:p>
    <w:p w:rsidR="00BF6EB5" w:rsidRPr="002542CC" w:rsidRDefault="00BF6EB5" w:rsidP="00BF6EB5">
      <w:pPr>
        <w:spacing w:line="288" w:lineRule="auto"/>
        <w:ind w:right="-885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Dios guarde a V.H.</w:t>
      </w:r>
    </w:p>
    <w:p w:rsidR="00BF6EB5" w:rsidRPr="002542CC" w:rsidRDefault="00BF6EB5" w:rsidP="00BF6EB5">
      <w:pPr>
        <w:spacing w:line="288" w:lineRule="auto"/>
        <w:ind w:left="540" w:right="-885" w:firstLine="3828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Pr="002542CC" w:rsidRDefault="00BF6EB5" w:rsidP="00BF6EB5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BF6EB5" w:rsidRDefault="00BF6EB5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783121" w:rsidRPr="002542CC" w:rsidRDefault="00783121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lastRenderedPageBreak/>
        <w:t>LA LEGISLATURA DE LA PROVINCIA DE ENTRE RÍOS</w:t>
      </w:r>
    </w:p>
    <w:p w:rsidR="00783121" w:rsidRPr="002542CC" w:rsidRDefault="00783121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783121" w:rsidRPr="002542CC" w:rsidRDefault="00783121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SANCIONA CON FUERZA DE LEY:</w:t>
      </w:r>
    </w:p>
    <w:p w:rsidR="00635EB8" w:rsidRPr="002542CC" w:rsidRDefault="00635EB8" w:rsidP="002542CC">
      <w:pPr>
        <w:spacing w:line="288" w:lineRule="auto"/>
        <w:ind w:left="540" w:right="-882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783121" w:rsidRPr="002542CC" w:rsidRDefault="00783121" w:rsidP="002542CC">
      <w:pPr>
        <w:spacing w:line="288" w:lineRule="auto"/>
        <w:ind w:left="540" w:right="-885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ARTICULO 1°.-</w:t>
      </w:r>
      <w:r w:rsidR="00225AFC">
        <w:rPr>
          <w:rFonts w:ascii="Century Gothic" w:hAnsi="Century Gothic"/>
          <w:spacing w:val="20"/>
          <w:sz w:val="22"/>
          <w:szCs w:val="22"/>
          <w:lang w:val="es-MX"/>
        </w:rPr>
        <w:t xml:space="preserve"> Autoríza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se al Superior Gobierno de la Provincia de Entre Ríos, a donar a </w:t>
      </w:r>
      <w:r w:rsidR="00F9177F"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favor de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la Municipalidad de Villa Urquiza un inmueble identificado como Lote Nº 2 que según Plano de Mensura Nº 162.869, Partida Provincial Nº 172.103 consta de una Superficie de</w:t>
      </w:r>
      <w:r w:rsidR="00225AFC">
        <w:rPr>
          <w:rFonts w:ascii="Century Gothic" w:hAnsi="Century Gothic"/>
          <w:spacing w:val="20"/>
          <w:sz w:val="22"/>
          <w:szCs w:val="22"/>
          <w:lang w:val="es-MX"/>
        </w:rPr>
        <w:t xml:space="preserve"> un mil ochocientos cincuenta y cuatro metros cuadrados con noventa y nueve decímetros cuadrados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225AFC">
        <w:rPr>
          <w:rFonts w:ascii="Century Gothic" w:hAnsi="Century Gothic"/>
          <w:spacing w:val="20"/>
          <w:sz w:val="22"/>
          <w:szCs w:val="22"/>
          <w:lang w:val="es-MX"/>
        </w:rPr>
        <w:t>(1.854,99 m.</w:t>
      </w:r>
      <w:r w:rsidR="00225AFC" w:rsidRPr="00225AFC">
        <w:rPr>
          <w:rFonts w:ascii="Century Gothic" w:hAnsi="Century Gothic"/>
          <w:spacing w:val="20"/>
          <w:sz w:val="22"/>
          <w:szCs w:val="22"/>
          <w:vertAlign w:val="superscript"/>
          <w:lang w:val="es-MX"/>
        </w:rPr>
        <w:t>2</w:t>
      </w:r>
      <w:r w:rsidR="00225AFC">
        <w:rPr>
          <w:rFonts w:ascii="Century Gothic" w:hAnsi="Century Gothic"/>
          <w:spacing w:val="20"/>
          <w:sz w:val="22"/>
          <w:szCs w:val="22"/>
          <w:lang w:val="es-MX"/>
        </w:rPr>
        <w:t>)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, ubicado en la Provincia de Entre Ríos, Departamento Paraná, Distrito Tala, Colonia Nueva de Villa Urquiza, Ejido Villa Urquiza, Chacra Nº 79, dentro de los siguientes límites y linderos: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NORTE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: Recta (3-4) al rumbo S.E. 79º 27´ de 23,52m. lindando con Camino General a Villa Urquiza;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ESTE: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Recta (4-10) al rumbo S.O. 57º 07´ de 6,00m. formando ochava con Camino General a Villa Urquiza y Lote Nº 3 del Consejo General de Educación donde funciona la Escuela Nº 40 “Martín Miguel de Güemes” y recta (10-7) al rumbo S.O. 13º 42´ de 118,27m lindando con Lote Nº 3 del Consejo General de Educación donde funciona la Escuela Nº 40 “Martín Miguel de Güemes”;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SUR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: Recta (7-8) al rumbo N.O. 79º 49´ de 15,03m. lindando con Horacio O. Deshayes y otra; </w:t>
      </w:r>
      <w:r w:rsidRPr="002542CC">
        <w:rPr>
          <w:rFonts w:ascii="Century Gothic" w:hAnsi="Century Gothic"/>
          <w:b/>
          <w:spacing w:val="20"/>
          <w:sz w:val="22"/>
          <w:szCs w:val="22"/>
          <w:lang w:val="es-MX"/>
        </w:rPr>
        <w:t>OESTE: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Pr="0020484D">
        <w:rPr>
          <w:rFonts w:ascii="Century Gothic" w:hAnsi="Century Gothic"/>
          <w:spacing w:val="20"/>
          <w:sz w:val="22"/>
          <w:szCs w:val="22"/>
          <w:lang w:val="es-MX"/>
        </w:rPr>
        <w:t>Recta (8-11) al rumbo N.E. 13º 42´ de 118,13m. lindando con Lote Nº 1 del Consejo General de Educación a transferir al I.A.P.V. y recta (11-3) al rumbo N.O. 32º 53´ de 6,0</w:t>
      </w:r>
      <w:r w:rsidR="0020484D" w:rsidRPr="0020484D">
        <w:rPr>
          <w:rFonts w:ascii="Century Gothic" w:hAnsi="Century Gothic"/>
          <w:spacing w:val="20"/>
          <w:sz w:val="22"/>
          <w:szCs w:val="22"/>
          <w:lang w:val="es-MX"/>
        </w:rPr>
        <w:t>0m formando ochava con Lote Nº 1</w:t>
      </w:r>
      <w:r w:rsidRPr="0020484D">
        <w:rPr>
          <w:rFonts w:ascii="Century Gothic" w:hAnsi="Century Gothic"/>
          <w:spacing w:val="20"/>
          <w:sz w:val="22"/>
          <w:szCs w:val="22"/>
          <w:lang w:val="es-MX"/>
        </w:rPr>
        <w:t>-</w:t>
      </w:r>
    </w:p>
    <w:p w:rsidR="00783121" w:rsidRPr="002542CC" w:rsidRDefault="00783121" w:rsidP="002542CC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412E3" w:rsidRDefault="00783121" w:rsidP="0020484D">
      <w:pPr>
        <w:spacing w:line="288" w:lineRule="auto"/>
        <w:ind w:left="540" w:right="-885"/>
        <w:jc w:val="both"/>
        <w:rPr>
          <w:rFonts w:ascii="Century Gothic" w:hAnsi="Century Gothic"/>
          <w:bCs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ARTICULO </w:t>
      </w:r>
      <w:r w:rsidR="006A2E53"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2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°.-</w:t>
      </w:r>
      <w:r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Establécese que la transferencia dispuesta por la presente Ley se efect</w:t>
      </w:r>
      <w:r w:rsidR="00ED6DE2"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>u</w:t>
      </w:r>
      <w:r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>a</w:t>
      </w:r>
      <w:r w:rsidR="00ED6DE2"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>rá</w:t>
      </w:r>
      <w:r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con el cargo de cumplir el </w:t>
      </w:r>
      <w:r w:rsidR="004412AF" w:rsidRPr="004412AF">
        <w:rPr>
          <w:rFonts w:ascii="Century Gothic" w:hAnsi="Century Gothic"/>
          <w:bCs/>
          <w:spacing w:val="20"/>
          <w:sz w:val="22"/>
          <w:szCs w:val="22"/>
          <w:lang w:val="es-MX"/>
        </w:rPr>
        <w:t>destino a calle pública</w:t>
      </w:r>
      <w:r w:rsidR="0020484D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y camino general.-</w:t>
      </w:r>
    </w:p>
    <w:p w:rsidR="0020484D" w:rsidRPr="0020484D" w:rsidRDefault="0020484D" w:rsidP="0020484D">
      <w:pPr>
        <w:spacing w:line="288" w:lineRule="auto"/>
        <w:ind w:left="540" w:right="-885"/>
        <w:jc w:val="both"/>
        <w:rPr>
          <w:rFonts w:ascii="Century Gothic" w:hAnsi="Century Gothic"/>
          <w:bCs/>
          <w:spacing w:val="20"/>
          <w:sz w:val="22"/>
          <w:szCs w:val="22"/>
          <w:lang w:val="es-MX"/>
        </w:rPr>
      </w:pPr>
    </w:p>
    <w:p w:rsidR="00783121" w:rsidRPr="002542CC" w:rsidRDefault="00783121" w:rsidP="002542CC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ARTICULO </w:t>
      </w:r>
      <w:r w:rsidR="006A2E53"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3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°.-</w:t>
      </w:r>
      <w:r w:rsidRPr="002542CC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Facúltase a la </w:t>
      </w:r>
      <w:r w:rsidRPr="002542CC">
        <w:rPr>
          <w:rFonts w:ascii="Century Gothic" w:hAnsi="Century Gothic"/>
          <w:spacing w:val="20"/>
          <w:sz w:val="22"/>
          <w:szCs w:val="22"/>
          <w:lang w:val="es-ES_tradnl"/>
        </w:rPr>
        <w:t>Escribanía Mayor de Gobierno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a realizar los trámites necesarios para la efectiva transferencia de dominio del inmueble individualizado a favor de</w:t>
      </w:r>
      <w:r w:rsidR="00ED6DE2"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l</w:t>
      </w:r>
      <w:r w:rsidR="00ED6DE2" w:rsidRPr="002542CC">
        <w:rPr>
          <w:rFonts w:ascii="Century Gothic" w:hAnsi="Century Gothic"/>
          <w:spacing w:val="20"/>
          <w:sz w:val="22"/>
          <w:szCs w:val="22"/>
          <w:lang w:val="es-MX"/>
        </w:rPr>
        <w:t>a Municipalidad de Villa Urquiza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>.-</w:t>
      </w:r>
    </w:p>
    <w:p w:rsidR="00783121" w:rsidRPr="002542CC" w:rsidRDefault="00783121" w:rsidP="002542CC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83121" w:rsidRPr="002542CC" w:rsidRDefault="00783121" w:rsidP="002542CC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 xml:space="preserve">ARTICULO </w:t>
      </w:r>
      <w:r w:rsidR="006A2E53"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4</w:t>
      </w:r>
      <w:r w:rsidRPr="002542CC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°.-</w:t>
      </w:r>
      <w:r w:rsidRPr="002542CC">
        <w:rPr>
          <w:rFonts w:ascii="Century Gothic" w:hAnsi="Century Gothic"/>
          <w:spacing w:val="20"/>
          <w:sz w:val="22"/>
          <w:szCs w:val="22"/>
          <w:lang w:val="es-MX"/>
        </w:rPr>
        <w:t xml:space="preserve"> COMUNÍQUESE, etc.-</w:t>
      </w:r>
    </w:p>
    <w:p w:rsidR="00783121" w:rsidRPr="002542CC" w:rsidRDefault="00783121" w:rsidP="002542CC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83121" w:rsidRPr="002542CC" w:rsidRDefault="00783121" w:rsidP="002542CC">
      <w:pPr>
        <w:spacing w:line="288" w:lineRule="auto"/>
        <w:ind w:left="540" w:right="-885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BF6EB5" w:rsidRPr="002542CC" w:rsidRDefault="00BF6EB5" w:rsidP="002542CC">
      <w:pPr>
        <w:spacing w:line="288" w:lineRule="auto"/>
        <w:ind w:right="-885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AF4420" w:rsidRPr="00BD658F" w:rsidRDefault="00AF4420" w:rsidP="00BF6EB5">
      <w:pPr>
        <w:spacing w:line="288" w:lineRule="auto"/>
        <w:ind w:right="-885"/>
        <w:rPr>
          <w:rFonts w:ascii="Century Gothic" w:hAnsi="Century Gothic"/>
          <w:spacing w:val="20"/>
          <w:sz w:val="22"/>
          <w:szCs w:val="22"/>
        </w:rPr>
      </w:pPr>
    </w:p>
    <w:p w:rsidR="00BD658F" w:rsidRPr="00BD658F" w:rsidRDefault="00BD658F" w:rsidP="002542CC">
      <w:pPr>
        <w:spacing w:line="288" w:lineRule="auto"/>
        <w:rPr>
          <w:rFonts w:ascii="Century Gothic" w:hAnsi="Century Gothic"/>
          <w:spacing w:val="20"/>
          <w:sz w:val="22"/>
          <w:szCs w:val="22"/>
        </w:rPr>
      </w:pPr>
    </w:p>
    <w:sectPr w:rsidR="00BD658F" w:rsidRPr="00BD658F" w:rsidSect="000E1A27">
      <w:pgSz w:w="11906" w:h="16838"/>
      <w:pgMar w:top="3402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9F" w:rsidRDefault="0022419F" w:rsidP="0020484D">
      <w:r>
        <w:separator/>
      </w:r>
    </w:p>
  </w:endnote>
  <w:endnote w:type="continuationSeparator" w:id="0">
    <w:p w:rsidR="0022419F" w:rsidRDefault="0022419F" w:rsidP="0020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9F" w:rsidRDefault="0022419F" w:rsidP="0020484D">
      <w:r>
        <w:separator/>
      </w:r>
    </w:p>
  </w:footnote>
  <w:footnote w:type="continuationSeparator" w:id="0">
    <w:p w:rsidR="0022419F" w:rsidRDefault="0022419F" w:rsidP="0020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02"/>
    <w:rsid w:val="00040865"/>
    <w:rsid w:val="000B360F"/>
    <w:rsid w:val="000B548F"/>
    <w:rsid w:val="000D5B4C"/>
    <w:rsid w:val="000E1A27"/>
    <w:rsid w:val="001375AE"/>
    <w:rsid w:val="00156593"/>
    <w:rsid w:val="00161202"/>
    <w:rsid w:val="0020484D"/>
    <w:rsid w:val="002140F1"/>
    <w:rsid w:val="00217536"/>
    <w:rsid w:val="0022419F"/>
    <w:rsid w:val="00225AFC"/>
    <w:rsid w:val="00233904"/>
    <w:rsid w:val="002542CC"/>
    <w:rsid w:val="00265016"/>
    <w:rsid w:val="002A3CCF"/>
    <w:rsid w:val="002E7261"/>
    <w:rsid w:val="00360F74"/>
    <w:rsid w:val="00425A4F"/>
    <w:rsid w:val="004412AF"/>
    <w:rsid w:val="00461532"/>
    <w:rsid w:val="004C7141"/>
    <w:rsid w:val="0050081C"/>
    <w:rsid w:val="005119BB"/>
    <w:rsid w:val="0052413E"/>
    <w:rsid w:val="00536B0E"/>
    <w:rsid w:val="0055064A"/>
    <w:rsid w:val="00552B02"/>
    <w:rsid w:val="005C34B7"/>
    <w:rsid w:val="005E3B0E"/>
    <w:rsid w:val="00604097"/>
    <w:rsid w:val="00635EB8"/>
    <w:rsid w:val="006A2E53"/>
    <w:rsid w:val="006E36D0"/>
    <w:rsid w:val="00713DE7"/>
    <w:rsid w:val="00724B39"/>
    <w:rsid w:val="007412E3"/>
    <w:rsid w:val="0074222B"/>
    <w:rsid w:val="00783121"/>
    <w:rsid w:val="0081126E"/>
    <w:rsid w:val="00856B37"/>
    <w:rsid w:val="008808FE"/>
    <w:rsid w:val="00883143"/>
    <w:rsid w:val="00901EBD"/>
    <w:rsid w:val="00922E88"/>
    <w:rsid w:val="00970BB3"/>
    <w:rsid w:val="009775C1"/>
    <w:rsid w:val="00987E7E"/>
    <w:rsid w:val="009C690C"/>
    <w:rsid w:val="00A040B6"/>
    <w:rsid w:val="00A04E65"/>
    <w:rsid w:val="00A34DD8"/>
    <w:rsid w:val="00A60426"/>
    <w:rsid w:val="00AD5081"/>
    <w:rsid w:val="00AF4420"/>
    <w:rsid w:val="00B80B20"/>
    <w:rsid w:val="00BA4B82"/>
    <w:rsid w:val="00BC2039"/>
    <w:rsid w:val="00BD658F"/>
    <w:rsid w:val="00BD6EF1"/>
    <w:rsid w:val="00BE1098"/>
    <w:rsid w:val="00BF68C2"/>
    <w:rsid w:val="00BF6EB5"/>
    <w:rsid w:val="00C00404"/>
    <w:rsid w:val="00C16E06"/>
    <w:rsid w:val="00C53D3D"/>
    <w:rsid w:val="00C60403"/>
    <w:rsid w:val="00CE0761"/>
    <w:rsid w:val="00D35CA5"/>
    <w:rsid w:val="00D370A0"/>
    <w:rsid w:val="00DF0AE9"/>
    <w:rsid w:val="00DF2046"/>
    <w:rsid w:val="00E253CF"/>
    <w:rsid w:val="00E3190C"/>
    <w:rsid w:val="00E67FD0"/>
    <w:rsid w:val="00ED3D9A"/>
    <w:rsid w:val="00ED6DE2"/>
    <w:rsid w:val="00F578D6"/>
    <w:rsid w:val="00F65721"/>
    <w:rsid w:val="00F9177F"/>
    <w:rsid w:val="00FD486C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2179A-A0DF-48ED-A22F-1A18CA6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Cs w:val="20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Cs w:val="20"/>
      <w:lang w:val="es-AR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angradetextonormal">
    <w:name w:val="Body Text Indent"/>
    <w:basedOn w:val="Normal"/>
    <w:semiHidden/>
    <w:pPr>
      <w:spacing w:line="360" w:lineRule="auto"/>
      <w:ind w:right="-885" w:firstLine="2340"/>
      <w:jc w:val="both"/>
    </w:pPr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048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0484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5A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75A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D915-6A2D-43EA-A057-A14A07BC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>Consejo General de Educación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DESPACHOCGE</dc:creator>
  <cp:keywords/>
  <cp:lastModifiedBy>Senado</cp:lastModifiedBy>
  <cp:revision>2</cp:revision>
  <cp:lastPrinted>2019-01-25T11:20:00Z</cp:lastPrinted>
  <dcterms:created xsi:type="dcterms:W3CDTF">2019-02-25T13:21:00Z</dcterms:created>
  <dcterms:modified xsi:type="dcterms:W3CDTF">2019-02-25T13:21:00Z</dcterms:modified>
</cp:coreProperties>
</file>