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9B" w:rsidRPr="00BF2A3C" w:rsidRDefault="009053A9" w:rsidP="0025014C">
      <w:pPr>
        <w:spacing w:line="288" w:lineRule="auto"/>
        <w:jc w:val="center"/>
        <w:rPr>
          <w:rFonts w:ascii="Century Gothic" w:hAnsi="Century Gothic"/>
          <w:b/>
        </w:rPr>
      </w:pPr>
      <w:r w:rsidRPr="00BF2A3C">
        <w:rPr>
          <w:rFonts w:ascii="Century Gothic" w:hAnsi="Century Gothic"/>
          <w:b/>
        </w:rPr>
        <w:t>LA LEGISLATURA DE LA PROVINCIA DE ENTRE RIOS</w:t>
      </w:r>
    </w:p>
    <w:p w:rsidR="009053A9" w:rsidRPr="00BF2A3C" w:rsidRDefault="009053A9" w:rsidP="0025014C">
      <w:pPr>
        <w:spacing w:line="288" w:lineRule="auto"/>
        <w:jc w:val="center"/>
        <w:rPr>
          <w:rFonts w:ascii="Century Gothic" w:hAnsi="Century Gothic"/>
          <w:b/>
        </w:rPr>
      </w:pPr>
      <w:r w:rsidRPr="00BF2A3C">
        <w:rPr>
          <w:rFonts w:ascii="Century Gothic" w:hAnsi="Century Gothic"/>
          <w:b/>
        </w:rPr>
        <w:t>SANCIONA CON FUERZA DE</w:t>
      </w:r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  <w:b/>
        </w:rPr>
      </w:pPr>
    </w:p>
    <w:p w:rsidR="009053A9" w:rsidRPr="00BF2A3C" w:rsidRDefault="009053A9" w:rsidP="0025014C">
      <w:pPr>
        <w:spacing w:line="288" w:lineRule="auto"/>
        <w:jc w:val="center"/>
        <w:rPr>
          <w:rFonts w:ascii="Century Gothic" w:hAnsi="Century Gothic"/>
          <w:b/>
        </w:rPr>
      </w:pPr>
      <w:r w:rsidRPr="00BF2A3C">
        <w:rPr>
          <w:rFonts w:ascii="Century Gothic" w:hAnsi="Century Gothic"/>
          <w:b/>
        </w:rPr>
        <w:t xml:space="preserve">L E </w:t>
      </w:r>
      <w:r w:rsidR="00C92CC0" w:rsidRPr="00BF2A3C">
        <w:rPr>
          <w:rFonts w:ascii="Century Gothic" w:hAnsi="Century Gothic"/>
          <w:b/>
        </w:rPr>
        <w:t>Y:</w:t>
      </w:r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</w:p>
    <w:p w:rsidR="00FD3579" w:rsidRPr="00BF2A3C" w:rsidRDefault="00FD3579" w:rsidP="0025014C">
      <w:pPr>
        <w:spacing w:line="288" w:lineRule="auto"/>
        <w:jc w:val="both"/>
        <w:rPr>
          <w:rFonts w:ascii="Century Gothic" w:hAnsi="Century Gothic"/>
          <w:b/>
          <w:u w:val="single"/>
        </w:rPr>
      </w:pPr>
    </w:p>
    <w:p w:rsidR="00EA0F9A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  <w:b/>
          <w:u w:val="single"/>
        </w:rPr>
        <w:t>ARTICULO 1º</w:t>
      </w:r>
      <w:r w:rsidRPr="00BF2A3C">
        <w:rPr>
          <w:rFonts w:ascii="Century Gothic" w:hAnsi="Century Gothic"/>
          <w:b/>
        </w:rPr>
        <w:t>.-</w:t>
      </w:r>
      <w:r w:rsidR="00E8157A">
        <w:rPr>
          <w:rFonts w:ascii="Century Gothic" w:hAnsi="Century Gothic"/>
        </w:rPr>
        <w:t xml:space="preserve"> </w:t>
      </w:r>
      <w:proofErr w:type="spellStart"/>
      <w:r w:rsidR="00E8157A">
        <w:rPr>
          <w:rFonts w:ascii="Century Gothic" w:hAnsi="Century Gothic"/>
        </w:rPr>
        <w:t>Decláran</w:t>
      </w:r>
      <w:r w:rsidRPr="00BF2A3C">
        <w:rPr>
          <w:rFonts w:ascii="Century Gothic" w:hAnsi="Century Gothic"/>
        </w:rPr>
        <w:t>se</w:t>
      </w:r>
      <w:proofErr w:type="spellEnd"/>
      <w:r w:rsidRPr="00BF2A3C">
        <w:rPr>
          <w:rFonts w:ascii="Century Gothic" w:hAnsi="Century Gothic"/>
        </w:rPr>
        <w:t xml:space="preserve"> de Utilidad Pública y sujeto</w:t>
      </w:r>
      <w:r w:rsidR="00E8157A">
        <w:rPr>
          <w:rFonts w:ascii="Century Gothic" w:hAnsi="Century Gothic"/>
        </w:rPr>
        <w:t>s</w:t>
      </w:r>
      <w:r w:rsidRPr="00BF2A3C">
        <w:rPr>
          <w:rFonts w:ascii="Century Gothic" w:hAnsi="Century Gothic"/>
        </w:rPr>
        <w:t xml:space="preserve"> a expropiación </w:t>
      </w:r>
      <w:r w:rsidR="002C1D25" w:rsidRPr="00BF2A3C">
        <w:rPr>
          <w:rFonts w:ascii="Century Gothic" w:hAnsi="Century Gothic"/>
        </w:rPr>
        <w:t>los</w:t>
      </w:r>
      <w:r w:rsidR="00411864" w:rsidRPr="00BF2A3C">
        <w:rPr>
          <w:rFonts w:ascii="Century Gothic" w:hAnsi="Century Gothic"/>
        </w:rPr>
        <w:t xml:space="preserve"> inmueble</w:t>
      </w:r>
      <w:r w:rsidR="002C1D25" w:rsidRPr="00BF2A3C">
        <w:rPr>
          <w:rFonts w:ascii="Century Gothic" w:hAnsi="Century Gothic"/>
        </w:rPr>
        <w:t>s</w:t>
      </w:r>
      <w:r w:rsidR="00411864" w:rsidRPr="00BF2A3C">
        <w:rPr>
          <w:rFonts w:ascii="Century Gothic" w:hAnsi="Century Gothic"/>
        </w:rPr>
        <w:t xml:space="preserve"> afectado</w:t>
      </w:r>
      <w:r w:rsidR="00492419" w:rsidRPr="00BF2A3C">
        <w:rPr>
          <w:rFonts w:ascii="Century Gothic" w:hAnsi="Century Gothic"/>
        </w:rPr>
        <w:t>s</w:t>
      </w:r>
      <w:r w:rsidR="00411864" w:rsidRPr="00BF2A3C">
        <w:rPr>
          <w:rFonts w:ascii="Century Gothic" w:hAnsi="Century Gothic"/>
        </w:rPr>
        <w:t xml:space="preserve"> por</w:t>
      </w:r>
      <w:r w:rsidR="001F7608">
        <w:rPr>
          <w:rFonts w:ascii="Century Gothic" w:hAnsi="Century Gothic"/>
        </w:rPr>
        <w:t xml:space="preserve"> la </w:t>
      </w:r>
      <w:r w:rsidR="00411864" w:rsidRPr="00BF2A3C">
        <w:rPr>
          <w:rFonts w:ascii="Century Gothic" w:hAnsi="Century Gothic"/>
        </w:rPr>
        <w:t xml:space="preserve"> </w:t>
      </w:r>
      <w:r w:rsidR="006B04B5">
        <w:rPr>
          <w:rFonts w:ascii="Century Gothic" w:hAnsi="Century Gothic"/>
        </w:rPr>
        <w:t>OBRA</w:t>
      </w:r>
      <w:r w:rsidR="001F7608">
        <w:rPr>
          <w:rFonts w:ascii="Century Gothic" w:hAnsi="Century Gothic"/>
        </w:rPr>
        <w:t xml:space="preserve"> “</w:t>
      </w:r>
      <w:r w:rsidR="004057EA">
        <w:rPr>
          <w:rFonts w:ascii="Century Gothic" w:hAnsi="Century Gothic"/>
        </w:rPr>
        <w:t>ACCESO A “EL OCASO</w:t>
      </w:r>
      <w:r w:rsidR="001F7608">
        <w:rPr>
          <w:rFonts w:ascii="Century Gothic" w:hAnsi="Century Gothic"/>
        </w:rPr>
        <w:t>”</w:t>
      </w:r>
      <w:r w:rsidR="004057EA">
        <w:rPr>
          <w:rFonts w:ascii="Century Gothic" w:hAnsi="Century Gothic"/>
        </w:rPr>
        <w:t xml:space="preserve"> DESDE AUTOVIA 14”</w:t>
      </w:r>
      <w:r w:rsidR="001F7608">
        <w:rPr>
          <w:rFonts w:ascii="Century Gothic" w:hAnsi="Century Gothic"/>
        </w:rPr>
        <w:t xml:space="preserve">, </w:t>
      </w:r>
      <w:r w:rsidR="00EA0F9A" w:rsidRPr="00BF2A3C">
        <w:rPr>
          <w:rFonts w:ascii="Century Gothic" w:hAnsi="Century Gothic"/>
        </w:rPr>
        <w:t>conforme el detalle consignado en el Anexo I que forma parte integrante de la presente.-</w:t>
      </w:r>
    </w:p>
    <w:p w:rsidR="009053A9" w:rsidRPr="00BF2A3C" w:rsidRDefault="00EA0F9A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</w:rPr>
        <w:t xml:space="preserve"> </w:t>
      </w:r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  <w:b/>
          <w:u w:val="single"/>
        </w:rPr>
        <w:t>ARTÍCULO 2º</w:t>
      </w:r>
      <w:r w:rsidRPr="00BF2A3C">
        <w:rPr>
          <w:rFonts w:ascii="Century Gothic" w:hAnsi="Century Gothic"/>
          <w:b/>
        </w:rPr>
        <w:t xml:space="preserve">.- </w:t>
      </w:r>
      <w:r w:rsidRPr="00BF2A3C">
        <w:rPr>
          <w:rFonts w:ascii="Century Gothic" w:hAnsi="Century Gothic"/>
        </w:rPr>
        <w:t xml:space="preserve">La Dirección Provincial de Vialidad propiciará las adecuaciones presupuestarias para atender </w:t>
      </w:r>
      <w:r w:rsidR="00EA0F9A" w:rsidRPr="00BF2A3C">
        <w:rPr>
          <w:rFonts w:ascii="Century Gothic" w:hAnsi="Century Gothic"/>
        </w:rPr>
        <w:t>los gastos</w:t>
      </w:r>
      <w:r w:rsidRPr="00BF2A3C">
        <w:rPr>
          <w:rFonts w:ascii="Century Gothic" w:hAnsi="Century Gothic"/>
        </w:rPr>
        <w:t xml:space="preserve"> que demande</w:t>
      </w:r>
      <w:r w:rsidR="00EA0F9A" w:rsidRPr="00BF2A3C">
        <w:rPr>
          <w:rFonts w:ascii="Century Gothic" w:hAnsi="Century Gothic"/>
        </w:rPr>
        <w:t>n</w:t>
      </w:r>
      <w:r w:rsidRPr="00BF2A3C">
        <w:rPr>
          <w:rFonts w:ascii="Century Gothic" w:hAnsi="Century Gothic"/>
        </w:rPr>
        <w:t xml:space="preserve"> </w:t>
      </w:r>
      <w:r w:rsidR="00EA0F9A" w:rsidRPr="00BF2A3C">
        <w:rPr>
          <w:rFonts w:ascii="Century Gothic" w:hAnsi="Century Gothic"/>
        </w:rPr>
        <w:t xml:space="preserve">las expropiaciones según la estimación de costos que en cada caso efectúe el </w:t>
      </w:r>
      <w:r w:rsidR="00C05A9B" w:rsidRPr="00BF2A3C">
        <w:rPr>
          <w:rFonts w:ascii="Century Gothic" w:hAnsi="Century Gothic"/>
        </w:rPr>
        <w:t>C</w:t>
      </w:r>
      <w:r w:rsidRPr="00BF2A3C">
        <w:rPr>
          <w:rFonts w:ascii="Century Gothic" w:hAnsi="Century Gothic"/>
        </w:rPr>
        <w:t>onsejo de Tasaciones de la Provincia</w:t>
      </w:r>
      <w:r w:rsidR="00EA0F9A" w:rsidRPr="00BF2A3C">
        <w:rPr>
          <w:rFonts w:ascii="Century Gothic" w:hAnsi="Century Gothic"/>
        </w:rPr>
        <w:t xml:space="preserve"> de Entre Ríos</w:t>
      </w:r>
      <w:r w:rsidRPr="00BF2A3C">
        <w:rPr>
          <w:rFonts w:ascii="Century Gothic" w:hAnsi="Century Gothic"/>
        </w:rPr>
        <w:t>.</w:t>
      </w:r>
      <w:r w:rsidR="00BF2A3C">
        <w:rPr>
          <w:rFonts w:ascii="Century Gothic" w:hAnsi="Century Gothic"/>
        </w:rPr>
        <w:t>-</w:t>
      </w:r>
    </w:p>
    <w:p w:rsidR="009053A9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</w:p>
    <w:p w:rsidR="00D35CD0" w:rsidRPr="00BF2A3C" w:rsidRDefault="009053A9" w:rsidP="0025014C">
      <w:pPr>
        <w:spacing w:line="288" w:lineRule="auto"/>
        <w:jc w:val="both"/>
        <w:rPr>
          <w:rFonts w:ascii="Century Gothic" w:hAnsi="Century Gothic"/>
        </w:rPr>
      </w:pPr>
      <w:r w:rsidRPr="00BF2A3C">
        <w:rPr>
          <w:rFonts w:ascii="Century Gothic" w:hAnsi="Century Gothic"/>
          <w:b/>
          <w:u w:val="single"/>
        </w:rPr>
        <w:t>ARTÍCULO 3º</w:t>
      </w:r>
      <w:r w:rsidRPr="00BF2A3C">
        <w:rPr>
          <w:rFonts w:ascii="Century Gothic" w:hAnsi="Century Gothic"/>
          <w:b/>
        </w:rPr>
        <w:t xml:space="preserve">.- </w:t>
      </w:r>
      <w:r w:rsidRPr="00BF2A3C">
        <w:rPr>
          <w:rFonts w:ascii="Century Gothic" w:hAnsi="Century Gothic"/>
        </w:rPr>
        <w:t xml:space="preserve"> </w:t>
      </w:r>
      <w:r w:rsidR="00826EAD">
        <w:rPr>
          <w:rFonts w:ascii="Century Gothic" w:hAnsi="Century Gothic"/>
        </w:rPr>
        <w:t>Comuníquese</w:t>
      </w:r>
      <w:r w:rsidR="00C05A9B" w:rsidRPr="00BF2A3C">
        <w:rPr>
          <w:rFonts w:ascii="Century Gothic" w:hAnsi="Century Gothic"/>
        </w:rPr>
        <w:t>, publíquese y archívese.-</w:t>
      </w:r>
    </w:p>
    <w:p w:rsidR="00F21E6F" w:rsidRPr="00F21E6F" w:rsidRDefault="00F21E6F" w:rsidP="00F21E6F">
      <w:pPr>
        <w:spacing w:line="288" w:lineRule="auto"/>
        <w:jc w:val="center"/>
        <w:rPr>
          <w:rFonts w:ascii="Century Gothic" w:hAnsi="Century Gothic"/>
          <w:b/>
          <w:kern w:val="16"/>
        </w:rPr>
      </w:pPr>
      <w:r>
        <w:rPr>
          <w:rFonts w:ascii="Century Gothic" w:hAnsi="Century Gothic"/>
        </w:rPr>
        <w:br w:type="page"/>
      </w:r>
      <w:bookmarkStart w:id="0" w:name="_GoBack"/>
      <w:bookmarkEnd w:id="0"/>
      <w:r w:rsidRPr="00F21E6F">
        <w:rPr>
          <w:rFonts w:ascii="Century Gothic" w:hAnsi="Century Gothic"/>
          <w:b/>
          <w:kern w:val="16"/>
        </w:rPr>
        <w:lastRenderedPageBreak/>
        <w:t>ANEXO I</w:t>
      </w:r>
    </w:p>
    <w:p w:rsidR="00F21E6F" w:rsidRPr="00F21E6F" w:rsidRDefault="00F21E6F" w:rsidP="00F21E6F">
      <w:pPr>
        <w:pBdr>
          <w:bottom w:val="single" w:sz="6" w:space="1" w:color="auto"/>
        </w:pBdr>
        <w:spacing w:line="288" w:lineRule="auto"/>
        <w:jc w:val="center"/>
        <w:rPr>
          <w:rFonts w:ascii="Century Gothic" w:hAnsi="Century Gothic"/>
          <w:b/>
          <w:kern w:val="16"/>
          <w:lang w:val="es-ES"/>
        </w:rPr>
      </w:pPr>
      <w:r w:rsidRPr="00F21E6F">
        <w:rPr>
          <w:rFonts w:ascii="Century Gothic" w:hAnsi="Century Gothic"/>
          <w:b/>
          <w:kern w:val="16"/>
          <w:lang w:val="es-ES"/>
        </w:rPr>
        <w:t>OBRA DE ACCESO A “EL OCASO” DESDE AUTOVIA 14</w:t>
      </w:r>
    </w:p>
    <w:p w:rsidR="00F21E6F" w:rsidRPr="00F21E6F" w:rsidRDefault="00F21E6F" w:rsidP="00F21E6F">
      <w:pPr>
        <w:spacing w:line="288" w:lineRule="auto"/>
        <w:ind w:left="2832" w:firstLine="3"/>
        <w:rPr>
          <w:rFonts w:ascii="Century Gothic" w:hAnsi="Century Gothic"/>
          <w:kern w:val="16"/>
          <w:u w:val="single"/>
          <w:lang w:val="es-ES"/>
        </w:rPr>
      </w:pPr>
    </w:p>
    <w:p w:rsidR="00F21E6F" w:rsidRPr="00F21E6F" w:rsidRDefault="00F21E6F" w:rsidP="00F21E6F">
      <w:pPr>
        <w:spacing w:line="288" w:lineRule="auto"/>
        <w:jc w:val="both"/>
        <w:rPr>
          <w:rFonts w:ascii="Century Gothic" w:hAnsi="Century Gothic"/>
          <w:kern w:val="16"/>
          <w:lang w:val="es-ES"/>
        </w:rPr>
      </w:pPr>
      <w:r w:rsidRPr="00F21E6F">
        <w:rPr>
          <w:rFonts w:ascii="Century Gothic" w:hAnsi="Century Gothic"/>
          <w:kern w:val="16"/>
          <w:lang w:val="es-ES"/>
        </w:rPr>
        <w:t>Los inmuebles a declarar de Utilidad Pública, con su ubicación correspondiente, son los siguientes:</w:t>
      </w:r>
    </w:p>
    <w:p w:rsidR="00F21E6F" w:rsidRPr="00F21E6F" w:rsidRDefault="00F21E6F" w:rsidP="00F21E6F">
      <w:pPr>
        <w:spacing w:before="120"/>
        <w:rPr>
          <w:rFonts w:ascii="Century Gothic" w:hAnsi="Century Gothic"/>
          <w:kern w:val="16"/>
          <w:sz w:val="20"/>
          <w:szCs w:val="20"/>
        </w:rPr>
      </w:pPr>
    </w:p>
    <w:tbl>
      <w:tblPr>
        <w:tblW w:w="5118" w:type="pct"/>
        <w:tblInd w:w="-1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F21E6F" w:rsidRPr="00F21E6F" w:rsidTr="00482B25">
        <w:trPr>
          <w:trHeight w:val="545"/>
          <w:tblHeader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caps/>
                <w:spacing w:val="0"/>
                <w:sz w:val="20"/>
                <w:szCs w:val="20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b/>
                <w:bCs/>
                <w:caps/>
                <w:spacing w:val="0"/>
                <w:sz w:val="20"/>
                <w:szCs w:val="20"/>
                <w:lang w:val="es-ES_tradnl" w:eastAsia="es-ES_tradnl"/>
              </w:rPr>
              <w:t>D e p a r t a m e n t o   G U A L E G U A Y C H U</w:t>
            </w:r>
          </w:p>
        </w:tc>
      </w:tr>
    </w:tbl>
    <w:p w:rsidR="00F21E6F" w:rsidRPr="00F21E6F" w:rsidRDefault="00F21E6F" w:rsidP="00F21E6F">
      <w:pPr>
        <w:rPr>
          <w:rFonts w:ascii="Century Gothic" w:hAnsi="Century Gothic"/>
          <w:kern w:val="16"/>
        </w:rPr>
      </w:pPr>
    </w:p>
    <w:tbl>
      <w:tblPr>
        <w:tblW w:w="48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1030"/>
        <w:gridCol w:w="1201"/>
        <w:gridCol w:w="3803"/>
        <w:gridCol w:w="1333"/>
        <w:gridCol w:w="77"/>
        <w:gridCol w:w="453"/>
        <w:gridCol w:w="510"/>
      </w:tblGrid>
      <w:tr w:rsidR="00F21E6F" w:rsidRPr="00F21E6F" w:rsidTr="00482B25">
        <w:trPr>
          <w:trHeight w:val="255"/>
        </w:trPr>
        <w:tc>
          <w:tcPr>
            <w:tcW w:w="302" w:type="pct"/>
            <w:vMerge w:val="restart"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  <w:t>Nº</w:t>
            </w:r>
          </w:p>
        </w:tc>
        <w:tc>
          <w:tcPr>
            <w:tcW w:w="575" w:type="pct"/>
            <w:vMerge w:val="restart"/>
            <w:shd w:val="clear" w:color="auto" w:fill="auto"/>
            <w:noWrap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  <w:t>PLANO</w:t>
            </w:r>
          </w:p>
        </w:tc>
        <w:tc>
          <w:tcPr>
            <w:tcW w:w="671" w:type="pct"/>
            <w:vMerge w:val="restart"/>
            <w:shd w:val="clear" w:color="auto" w:fill="auto"/>
            <w:noWrap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  <w:t>PARTIDA</w:t>
            </w:r>
          </w:p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  <w:t>PROV.</w:t>
            </w:r>
          </w:p>
        </w:tc>
        <w:tc>
          <w:tcPr>
            <w:tcW w:w="2125" w:type="pct"/>
            <w:vMerge w:val="restart"/>
            <w:shd w:val="clear" w:color="auto" w:fill="auto"/>
            <w:noWrap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  <w:t>PROPIETARIO – TITULAR</w:t>
            </w:r>
          </w:p>
        </w:tc>
        <w:tc>
          <w:tcPr>
            <w:tcW w:w="745" w:type="pct"/>
            <w:vMerge w:val="restart"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  <w:t>Fecha de Inscripción</w:t>
            </w:r>
          </w:p>
        </w:tc>
        <w:tc>
          <w:tcPr>
            <w:tcW w:w="581" w:type="pct"/>
            <w:gridSpan w:val="3"/>
            <w:shd w:val="clear" w:color="auto" w:fill="auto"/>
            <w:noWrap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  <w:t>Matrícula</w:t>
            </w:r>
          </w:p>
        </w:tc>
      </w:tr>
      <w:tr w:rsidR="00F21E6F" w:rsidRPr="00F21E6F" w:rsidTr="00482B25">
        <w:trPr>
          <w:trHeight w:val="270"/>
        </w:trPr>
        <w:tc>
          <w:tcPr>
            <w:tcW w:w="302" w:type="pct"/>
            <w:vMerge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575" w:type="pct"/>
            <w:vMerge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2125" w:type="pct"/>
            <w:vMerge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745" w:type="pct"/>
            <w:vMerge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296" w:type="pct"/>
            <w:gridSpan w:val="2"/>
            <w:shd w:val="clear" w:color="auto" w:fill="auto"/>
            <w:noWrap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  <w:proofErr w:type="spellStart"/>
            <w:r w:rsidRPr="00F21E6F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  <w:t>Tº</w:t>
            </w:r>
            <w:proofErr w:type="spellEnd"/>
          </w:p>
        </w:tc>
        <w:tc>
          <w:tcPr>
            <w:tcW w:w="285" w:type="pct"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</w:pPr>
            <w:proofErr w:type="spellStart"/>
            <w:r w:rsidRPr="00F21E6F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lang w:val="es-ES_tradnl" w:eastAsia="es-ES_tradnl"/>
              </w:rPr>
              <w:t>Fº</w:t>
            </w:r>
            <w:proofErr w:type="spellEnd"/>
          </w:p>
        </w:tc>
      </w:tr>
      <w:tr w:rsidR="00F21E6F" w:rsidRPr="00F21E6F" w:rsidTr="00482B25">
        <w:trPr>
          <w:trHeight w:val="454"/>
        </w:trPr>
        <w:tc>
          <w:tcPr>
            <w:tcW w:w="302" w:type="pct"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32.166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37.411-3</w:t>
            </w:r>
          </w:p>
        </w:tc>
        <w:tc>
          <w:tcPr>
            <w:tcW w:w="212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 xml:space="preserve">BALDASERRE - Celina Victoria // María Isabel // Mercedes Lucila - 1/3 </w:t>
            </w:r>
            <w:proofErr w:type="spellStart"/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c.u</w:t>
            </w:r>
            <w:proofErr w:type="spellEnd"/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 xml:space="preserve">. 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29/11/2013</w:t>
            </w:r>
          </w:p>
        </w:tc>
        <w:tc>
          <w:tcPr>
            <w:tcW w:w="581" w:type="pct"/>
            <w:gridSpan w:val="3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1.650</w:t>
            </w:r>
          </w:p>
        </w:tc>
      </w:tr>
      <w:tr w:rsidR="00F21E6F" w:rsidRPr="00F21E6F" w:rsidTr="00482B25">
        <w:trPr>
          <w:trHeight w:val="454"/>
        </w:trPr>
        <w:tc>
          <w:tcPr>
            <w:tcW w:w="302" w:type="pct"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  <w:t>2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64.455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37.259-7</w:t>
            </w:r>
          </w:p>
        </w:tc>
        <w:tc>
          <w:tcPr>
            <w:tcW w:w="212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CAMPOSTRINI - Gustavo Roberto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17/03/2000</w:t>
            </w:r>
          </w:p>
        </w:tc>
        <w:tc>
          <w:tcPr>
            <w:tcW w:w="581" w:type="pct"/>
            <w:gridSpan w:val="3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9.359</w:t>
            </w:r>
          </w:p>
        </w:tc>
      </w:tr>
      <w:tr w:rsidR="00F21E6F" w:rsidRPr="00F21E6F" w:rsidTr="00482B25">
        <w:trPr>
          <w:trHeight w:val="454"/>
        </w:trPr>
        <w:tc>
          <w:tcPr>
            <w:tcW w:w="302" w:type="pct"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</w:p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</w:p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  <w:t>3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64.457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141.790-9</w:t>
            </w:r>
          </w:p>
        </w:tc>
        <w:tc>
          <w:tcPr>
            <w:tcW w:w="212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 xml:space="preserve">TRIPODI  de YSRRAELIT - María del Carmen 64,00 % // YSRRAELIT - Juan José // YSRRAELIT - María </w:t>
            </w:r>
            <w:proofErr w:type="spellStart"/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Celica</w:t>
            </w:r>
            <w:proofErr w:type="spellEnd"/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 xml:space="preserve"> // YSRRAELI - Julio Simón - 12,00 % c. u. 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16/05/2007</w:t>
            </w:r>
          </w:p>
        </w:tc>
        <w:tc>
          <w:tcPr>
            <w:tcW w:w="581" w:type="pct"/>
            <w:gridSpan w:val="3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9.361</w:t>
            </w:r>
          </w:p>
        </w:tc>
      </w:tr>
      <w:tr w:rsidR="00F21E6F" w:rsidRPr="00F21E6F" w:rsidTr="00482B25">
        <w:trPr>
          <w:trHeight w:val="454"/>
        </w:trPr>
        <w:tc>
          <w:tcPr>
            <w:tcW w:w="302" w:type="pct"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  <w:t>4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29.659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103.520-0</w:t>
            </w:r>
          </w:p>
        </w:tc>
        <w:tc>
          <w:tcPr>
            <w:tcW w:w="212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TRIPODI - María del Carmen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11/12/1973</w:t>
            </w:r>
          </w:p>
        </w:tc>
        <w:tc>
          <w:tcPr>
            <w:tcW w:w="581" w:type="pct"/>
            <w:gridSpan w:val="3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854</w:t>
            </w:r>
          </w:p>
        </w:tc>
      </w:tr>
      <w:tr w:rsidR="00F21E6F" w:rsidRPr="00F21E6F" w:rsidTr="00482B25">
        <w:trPr>
          <w:trHeight w:val="454"/>
        </w:trPr>
        <w:tc>
          <w:tcPr>
            <w:tcW w:w="302" w:type="pct"/>
            <w:shd w:val="clear" w:color="auto" w:fill="auto"/>
          </w:tcPr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</w:p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</w:p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</w:p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</w:p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</w:p>
          <w:p w:rsidR="00F21E6F" w:rsidRPr="00F21E6F" w:rsidRDefault="00F21E6F" w:rsidP="00F21E6F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</w:pPr>
            <w:r w:rsidRPr="00F21E6F">
              <w:rPr>
                <w:rFonts w:ascii="Century Gothic" w:hAnsi="Century Gothic" w:cs="Arial"/>
                <w:spacing w:val="0"/>
                <w:sz w:val="18"/>
                <w:szCs w:val="18"/>
                <w:lang w:val="es-ES_tradnl" w:eastAsia="es-ES_tradnl"/>
              </w:rPr>
              <w:t>5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78.203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37.412-2</w:t>
            </w:r>
          </w:p>
        </w:tc>
        <w:tc>
          <w:tcPr>
            <w:tcW w:w="212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 xml:space="preserve">SCHLOTTHAUER - Juan Alberto 6,25 %// Manuel 6,25 // Antonio Héctor 6,25 % // Horacio Samuel 6,25 % // Roberto Emilio 6,25  // Augusto Rodolfo 6,25 % // Fernando 6,25 % // Gloria Ester 6,25 % // María Elvira 5,55 % // Otilia Esther 5,55 % // Ricardo 5,55 % // Martín Reinaldo 5,55 % // Juan Hilario 5,55 % // </w:t>
            </w:r>
            <w:proofErr w:type="spellStart"/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Dionicio</w:t>
            </w:r>
            <w:proofErr w:type="spellEnd"/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 xml:space="preserve"> Teodoro 5,55 % // Daniel Ernesto 5,55 % // Berta Teresa 5,55 % 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11/08/1987 - 31/01/1996</w:t>
            </w: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7.247</w:t>
            </w:r>
          </w:p>
        </w:tc>
      </w:tr>
      <w:tr w:rsidR="00F21E6F" w:rsidRPr="00F21E6F" w:rsidTr="00482B25">
        <w:trPr>
          <w:trHeight w:val="454"/>
        </w:trPr>
        <w:tc>
          <w:tcPr>
            <w:tcW w:w="302" w:type="pct"/>
            <w:shd w:val="clear" w:color="auto" w:fill="auto"/>
          </w:tcPr>
          <w:p w:rsidR="00F21E6F" w:rsidRPr="00F21E6F" w:rsidRDefault="00F21E6F" w:rsidP="00F21E6F">
            <w:pPr>
              <w:jc w:val="center"/>
              <w:rPr>
                <w:rFonts w:ascii="Century Gothic" w:hAnsi="Century Gothic"/>
                <w:kern w:val="16"/>
                <w:sz w:val="18"/>
                <w:szCs w:val="18"/>
              </w:rPr>
            </w:pPr>
          </w:p>
          <w:p w:rsidR="00F21E6F" w:rsidRPr="00F21E6F" w:rsidRDefault="00F21E6F" w:rsidP="00F21E6F">
            <w:pPr>
              <w:jc w:val="center"/>
              <w:rPr>
                <w:rFonts w:ascii="Century Gothic" w:hAnsi="Century Gothic"/>
                <w:kern w:val="16"/>
                <w:sz w:val="18"/>
                <w:szCs w:val="18"/>
              </w:rPr>
            </w:pPr>
          </w:p>
          <w:p w:rsidR="00F21E6F" w:rsidRPr="00F21E6F" w:rsidRDefault="00F21E6F" w:rsidP="00F21E6F">
            <w:pPr>
              <w:jc w:val="center"/>
              <w:rPr>
                <w:rFonts w:ascii="Century Gothic" w:hAnsi="Century Gothic"/>
                <w:kern w:val="16"/>
                <w:sz w:val="18"/>
                <w:szCs w:val="18"/>
              </w:rPr>
            </w:pPr>
          </w:p>
          <w:p w:rsidR="00F21E6F" w:rsidRPr="00F21E6F" w:rsidRDefault="00F21E6F" w:rsidP="00F21E6F">
            <w:pPr>
              <w:jc w:val="center"/>
              <w:rPr>
                <w:rFonts w:ascii="Century Gothic" w:hAnsi="Century Gothic"/>
                <w:kern w:val="16"/>
                <w:sz w:val="18"/>
                <w:szCs w:val="18"/>
              </w:rPr>
            </w:pPr>
          </w:p>
          <w:p w:rsidR="00F21E6F" w:rsidRPr="00F21E6F" w:rsidRDefault="00F21E6F" w:rsidP="00F21E6F">
            <w:pPr>
              <w:jc w:val="center"/>
              <w:rPr>
                <w:rFonts w:ascii="Century Gothic" w:hAnsi="Century Gothic"/>
                <w:kern w:val="16"/>
                <w:sz w:val="18"/>
                <w:szCs w:val="18"/>
              </w:rPr>
            </w:pPr>
          </w:p>
          <w:p w:rsidR="00F21E6F" w:rsidRPr="00F21E6F" w:rsidRDefault="00F21E6F" w:rsidP="00F21E6F">
            <w:pPr>
              <w:jc w:val="center"/>
              <w:rPr>
                <w:rFonts w:ascii="Century Gothic" w:hAnsi="Century Gothic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/>
                <w:kern w:val="16"/>
                <w:sz w:val="18"/>
                <w:szCs w:val="18"/>
              </w:rPr>
              <w:t>6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78.204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160142-4</w:t>
            </w:r>
          </w:p>
        </w:tc>
        <w:tc>
          <w:tcPr>
            <w:tcW w:w="212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 xml:space="preserve">SCHLOTTHAUER - Juan Alberto 6,25 %// Manuel 6,25 // Antonio Héctor 6,25 % // Horacio Samuel 6,25 % // Roberto Emilio 6,25  // Augusto Rodolfo 6,25 % // Fernando 6,25 % // Gloria Ester 6,25 % // María Elvira 5,55 % // Otilia Esther 5,55 % // Ricardo 5,55 % // Martín Reinaldo 5,55 % // Juan Hilario 5,55 % // </w:t>
            </w:r>
            <w:proofErr w:type="spellStart"/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Dionicio</w:t>
            </w:r>
            <w:proofErr w:type="spellEnd"/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 xml:space="preserve"> Teodoro 5,55 % // Daniel Ernesto 5,55 % // Berta Teresa 5,55 % 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11/08/1987 - 31/01/1996</w:t>
            </w:r>
          </w:p>
        </w:tc>
        <w:tc>
          <w:tcPr>
            <w:tcW w:w="581" w:type="pct"/>
            <w:gridSpan w:val="3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7.247</w:t>
            </w:r>
          </w:p>
        </w:tc>
      </w:tr>
      <w:tr w:rsidR="00F21E6F" w:rsidRPr="00F21E6F" w:rsidTr="00482B25">
        <w:trPr>
          <w:trHeight w:val="454"/>
        </w:trPr>
        <w:tc>
          <w:tcPr>
            <w:tcW w:w="302" w:type="pct"/>
            <w:shd w:val="clear" w:color="auto" w:fill="auto"/>
          </w:tcPr>
          <w:p w:rsidR="00F21E6F" w:rsidRPr="00F21E6F" w:rsidRDefault="00F21E6F" w:rsidP="00F21E6F">
            <w:pPr>
              <w:jc w:val="center"/>
              <w:rPr>
                <w:rFonts w:ascii="Century Gothic" w:hAnsi="Century Gothic"/>
                <w:kern w:val="16"/>
                <w:sz w:val="18"/>
                <w:szCs w:val="18"/>
              </w:rPr>
            </w:pPr>
          </w:p>
          <w:p w:rsidR="00F21E6F" w:rsidRPr="00F21E6F" w:rsidRDefault="00F21E6F" w:rsidP="00F21E6F">
            <w:pPr>
              <w:jc w:val="center"/>
              <w:rPr>
                <w:rFonts w:ascii="Century Gothic" w:hAnsi="Century Gothic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/>
                <w:kern w:val="16"/>
                <w:sz w:val="18"/>
                <w:szCs w:val="18"/>
              </w:rPr>
              <w:t>7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81.329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101.471-9</w:t>
            </w:r>
          </w:p>
        </w:tc>
        <w:tc>
          <w:tcPr>
            <w:tcW w:w="212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MOREA - Luis José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05/07/2012</w:t>
            </w:r>
          </w:p>
        </w:tc>
        <w:tc>
          <w:tcPr>
            <w:tcW w:w="538" w:type="pct"/>
            <w:gridSpan w:val="2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11.324</w:t>
            </w:r>
          </w:p>
        </w:tc>
      </w:tr>
      <w:tr w:rsidR="00F21E6F" w:rsidRPr="00F21E6F" w:rsidTr="00482B25">
        <w:trPr>
          <w:trHeight w:val="454"/>
        </w:trPr>
        <w:tc>
          <w:tcPr>
            <w:tcW w:w="302" w:type="pct"/>
            <w:shd w:val="clear" w:color="auto" w:fill="auto"/>
          </w:tcPr>
          <w:p w:rsidR="00F21E6F" w:rsidRPr="00F21E6F" w:rsidRDefault="00F21E6F" w:rsidP="00F21E6F">
            <w:pPr>
              <w:jc w:val="center"/>
              <w:rPr>
                <w:rFonts w:ascii="Century Gothic" w:hAnsi="Century Gothic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/>
                <w:kern w:val="16"/>
                <w:sz w:val="18"/>
                <w:szCs w:val="18"/>
              </w:rPr>
              <w:t>8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81.330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154.568-2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 xml:space="preserve">DE LA FUENTE - María Dolores // Juan Martín 50,00 % </w:t>
            </w:r>
            <w:proofErr w:type="spellStart"/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c.u</w:t>
            </w:r>
            <w:proofErr w:type="spellEnd"/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.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12/10/2007</w:t>
            </w:r>
          </w:p>
        </w:tc>
        <w:tc>
          <w:tcPr>
            <w:tcW w:w="538" w:type="pct"/>
            <w:gridSpan w:val="2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957</w:t>
            </w:r>
          </w:p>
        </w:tc>
      </w:tr>
      <w:tr w:rsidR="00F21E6F" w:rsidRPr="00F21E6F" w:rsidTr="00482B25">
        <w:trPr>
          <w:trHeight w:val="454"/>
        </w:trPr>
        <w:tc>
          <w:tcPr>
            <w:tcW w:w="302" w:type="pct"/>
            <w:shd w:val="clear" w:color="auto" w:fill="auto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9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68.664</w:t>
            </w:r>
          </w:p>
        </w:tc>
        <w:tc>
          <w:tcPr>
            <w:tcW w:w="671" w:type="pct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144.982-9</w:t>
            </w:r>
          </w:p>
        </w:tc>
        <w:tc>
          <w:tcPr>
            <w:tcW w:w="2125" w:type="pct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DEL VALLE - Aristóbulo Héctor</w:t>
            </w:r>
          </w:p>
        </w:tc>
        <w:tc>
          <w:tcPr>
            <w:tcW w:w="788" w:type="pct"/>
            <w:gridSpan w:val="2"/>
            <w:shd w:val="clear" w:color="auto" w:fill="auto"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18/06/2004</w:t>
            </w:r>
          </w:p>
        </w:tc>
        <w:tc>
          <w:tcPr>
            <w:tcW w:w="538" w:type="pct"/>
            <w:gridSpan w:val="2"/>
            <w:shd w:val="clear" w:color="auto" w:fill="auto"/>
            <w:noWrap/>
            <w:vAlign w:val="center"/>
          </w:tcPr>
          <w:p w:rsidR="00F21E6F" w:rsidRPr="00F21E6F" w:rsidRDefault="00F21E6F" w:rsidP="00F21E6F">
            <w:pPr>
              <w:jc w:val="center"/>
              <w:rPr>
                <w:rFonts w:ascii="Century Gothic" w:hAnsi="Century Gothic" w:cs="Arial"/>
                <w:kern w:val="16"/>
                <w:sz w:val="18"/>
                <w:szCs w:val="18"/>
              </w:rPr>
            </w:pPr>
            <w:r w:rsidRPr="00F21E6F">
              <w:rPr>
                <w:rFonts w:ascii="Century Gothic" w:hAnsi="Century Gothic" w:cs="Arial"/>
                <w:kern w:val="16"/>
                <w:sz w:val="18"/>
                <w:szCs w:val="18"/>
              </w:rPr>
              <w:t>10.037</w:t>
            </w:r>
          </w:p>
        </w:tc>
      </w:tr>
    </w:tbl>
    <w:p w:rsidR="0063520B" w:rsidRPr="00BF2A3C" w:rsidRDefault="0063520B" w:rsidP="00F21E6F">
      <w:pPr>
        <w:spacing w:line="288" w:lineRule="auto"/>
        <w:rPr>
          <w:rFonts w:ascii="Century Gothic" w:hAnsi="Century Gothic"/>
        </w:rPr>
      </w:pPr>
    </w:p>
    <w:sectPr w:rsidR="0063520B" w:rsidRPr="00BF2A3C" w:rsidSect="00F21E6F">
      <w:pgSz w:w="11907" w:h="16840" w:code="9"/>
      <w:pgMar w:top="2268" w:right="1134" w:bottom="1418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B1" w:rsidRDefault="00F956B1" w:rsidP="00F21E6F">
      <w:r>
        <w:separator/>
      </w:r>
    </w:p>
  </w:endnote>
  <w:endnote w:type="continuationSeparator" w:id="0">
    <w:p w:rsidR="00F956B1" w:rsidRDefault="00F956B1" w:rsidP="00F2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B1" w:rsidRDefault="00F956B1" w:rsidP="00F21E6F">
      <w:r>
        <w:separator/>
      </w:r>
    </w:p>
  </w:footnote>
  <w:footnote w:type="continuationSeparator" w:id="0">
    <w:p w:rsidR="00F956B1" w:rsidRDefault="00F956B1" w:rsidP="00F21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7E"/>
    <w:rsid w:val="000060D5"/>
    <w:rsid w:val="00021875"/>
    <w:rsid w:val="00044C8D"/>
    <w:rsid w:val="00090753"/>
    <w:rsid w:val="000D3A37"/>
    <w:rsid w:val="000E643C"/>
    <w:rsid w:val="001232F0"/>
    <w:rsid w:val="00136CC5"/>
    <w:rsid w:val="00143552"/>
    <w:rsid w:val="001A0CE2"/>
    <w:rsid w:val="001A2EAF"/>
    <w:rsid w:val="001B450C"/>
    <w:rsid w:val="001F7608"/>
    <w:rsid w:val="00217565"/>
    <w:rsid w:val="00237C66"/>
    <w:rsid w:val="0025014C"/>
    <w:rsid w:val="002C1313"/>
    <w:rsid w:val="002C1D25"/>
    <w:rsid w:val="00306304"/>
    <w:rsid w:val="003144F6"/>
    <w:rsid w:val="00316378"/>
    <w:rsid w:val="003627E9"/>
    <w:rsid w:val="00397053"/>
    <w:rsid w:val="003A014C"/>
    <w:rsid w:val="003D3ADF"/>
    <w:rsid w:val="004057EA"/>
    <w:rsid w:val="00411864"/>
    <w:rsid w:val="00492419"/>
    <w:rsid w:val="004A7442"/>
    <w:rsid w:val="004B20C1"/>
    <w:rsid w:val="00536B58"/>
    <w:rsid w:val="00552D43"/>
    <w:rsid w:val="005550D6"/>
    <w:rsid w:val="005C42CB"/>
    <w:rsid w:val="0061608E"/>
    <w:rsid w:val="006237C5"/>
    <w:rsid w:val="0063520B"/>
    <w:rsid w:val="00671A81"/>
    <w:rsid w:val="00677B67"/>
    <w:rsid w:val="006B04B5"/>
    <w:rsid w:val="006F7643"/>
    <w:rsid w:val="007F5914"/>
    <w:rsid w:val="00824417"/>
    <w:rsid w:val="00826EAD"/>
    <w:rsid w:val="00827775"/>
    <w:rsid w:val="00891387"/>
    <w:rsid w:val="008979C1"/>
    <w:rsid w:val="008B5767"/>
    <w:rsid w:val="008F56C0"/>
    <w:rsid w:val="009053A9"/>
    <w:rsid w:val="00916407"/>
    <w:rsid w:val="00922571"/>
    <w:rsid w:val="00934702"/>
    <w:rsid w:val="00972827"/>
    <w:rsid w:val="009B2F72"/>
    <w:rsid w:val="009C629B"/>
    <w:rsid w:val="009F0EC3"/>
    <w:rsid w:val="009F4311"/>
    <w:rsid w:val="00A238B9"/>
    <w:rsid w:val="00A75B0C"/>
    <w:rsid w:val="00A96669"/>
    <w:rsid w:val="00AC25D6"/>
    <w:rsid w:val="00AD4B90"/>
    <w:rsid w:val="00AF6DE8"/>
    <w:rsid w:val="00B02D13"/>
    <w:rsid w:val="00B12F6E"/>
    <w:rsid w:val="00B249B6"/>
    <w:rsid w:val="00B866E7"/>
    <w:rsid w:val="00BD4047"/>
    <w:rsid w:val="00BE534C"/>
    <w:rsid w:val="00BF2A3C"/>
    <w:rsid w:val="00C05A9B"/>
    <w:rsid w:val="00C21C7E"/>
    <w:rsid w:val="00C308CF"/>
    <w:rsid w:val="00C52F71"/>
    <w:rsid w:val="00C54A45"/>
    <w:rsid w:val="00C60FFB"/>
    <w:rsid w:val="00C610FE"/>
    <w:rsid w:val="00C92CC0"/>
    <w:rsid w:val="00D35CD0"/>
    <w:rsid w:val="00D93608"/>
    <w:rsid w:val="00DC764D"/>
    <w:rsid w:val="00DD2180"/>
    <w:rsid w:val="00E15BA3"/>
    <w:rsid w:val="00E50073"/>
    <w:rsid w:val="00E75F8B"/>
    <w:rsid w:val="00E8157A"/>
    <w:rsid w:val="00EA0F9A"/>
    <w:rsid w:val="00EA68FE"/>
    <w:rsid w:val="00EC1B9C"/>
    <w:rsid w:val="00F21E6F"/>
    <w:rsid w:val="00F55A1B"/>
    <w:rsid w:val="00F75698"/>
    <w:rsid w:val="00F94865"/>
    <w:rsid w:val="00F956B1"/>
    <w:rsid w:val="00FA76E3"/>
    <w:rsid w:val="00FD3579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9C174F-9E8D-4942-A846-7296CA5E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pacing w:val="20"/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9F4311"/>
    <w:pPr>
      <w:framePr w:w="7920" w:h="1980" w:hRule="exact" w:hSpace="141" w:wrap="auto" w:hAnchor="page" w:xAlign="center" w:yAlign="bottom"/>
      <w:ind w:left="2880"/>
    </w:pPr>
    <w:rPr>
      <w:rFonts w:ascii="Bookman Old Style" w:hAnsi="Bookman Old Style" w:cs="Arial"/>
      <w:sz w:val="32"/>
      <w:szCs w:val="32"/>
    </w:rPr>
  </w:style>
  <w:style w:type="paragraph" w:styleId="Remitedesobre">
    <w:name w:val="envelope return"/>
    <w:basedOn w:val="Normal"/>
    <w:rsid w:val="001232F0"/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rsid w:val="00FA76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A76E3"/>
    <w:rPr>
      <w:rFonts w:ascii="Tahoma" w:hAnsi="Tahoma" w:cs="Tahoma"/>
      <w:sz w:val="16"/>
      <w:szCs w:val="16"/>
      <w:lang w:val="es-AR" w:eastAsia="es-ES"/>
    </w:rPr>
  </w:style>
  <w:style w:type="paragraph" w:styleId="Encabezado">
    <w:name w:val="header"/>
    <w:basedOn w:val="Normal"/>
    <w:link w:val="EncabezadoCar"/>
    <w:unhideWhenUsed/>
    <w:rsid w:val="00F21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21E6F"/>
    <w:rPr>
      <w:rFonts w:ascii="Courier New" w:hAnsi="Courier New"/>
      <w:spacing w:val="20"/>
      <w:sz w:val="22"/>
      <w:szCs w:val="22"/>
      <w:lang w:val="es-AR"/>
    </w:rPr>
  </w:style>
  <w:style w:type="paragraph" w:styleId="Piedepgina">
    <w:name w:val="footer"/>
    <w:basedOn w:val="Normal"/>
    <w:link w:val="PiedepginaCar"/>
    <w:unhideWhenUsed/>
    <w:rsid w:val="00F21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1E6F"/>
    <w:rPr>
      <w:rFonts w:ascii="Courier New" w:hAnsi="Courier New"/>
      <w:spacing w:val="20"/>
      <w:sz w:val="22"/>
      <w:szCs w:val="22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RUTA PROVINCIAL Nº 23  VILLA ELISA - JUBILEO</vt:lpstr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RUTA PROVINCIAL Nº 23  VILLA ELISA - JUBILEO</dc:title>
  <dc:creator>Jorge Flores</dc:creator>
  <cp:lastModifiedBy>Senado</cp:lastModifiedBy>
  <cp:revision>2</cp:revision>
  <cp:lastPrinted>2018-02-23T11:16:00Z</cp:lastPrinted>
  <dcterms:created xsi:type="dcterms:W3CDTF">2019-04-29T20:46:00Z</dcterms:created>
  <dcterms:modified xsi:type="dcterms:W3CDTF">2019-04-29T20:46:00Z</dcterms:modified>
</cp:coreProperties>
</file>