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C7A" w:rsidRDefault="00FA1ABE" w:rsidP="00FA1ABE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es-AR"/>
        </w:rPr>
      </w:pPr>
      <w:bookmarkStart w:id="0" w:name="_GoBack"/>
      <w:bookmarkEnd w:id="0"/>
      <w:r>
        <w:rPr>
          <w:rFonts w:ascii="Arial" w:eastAsia="Times New Roman" w:hAnsi="Arial" w:cs="Arial"/>
          <w:b/>
          <w:sz w:val="24"/>
          <w:szCs w:val="24"/>
          <w:lang w:eastAsia="es-AR"/>
        </w:rPr>
        <w:t>FUNDAMENTOS</w:t>
      </w:r>
    </w:p>
    <w:p w:rsidR="00FA1ABE" w:rsidRDefault="00FA1ABE" w:rsidP="00FA1ABE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es-AR"/>
        </w:rPr>
      </w:pPr>
    </w:p>
    <w:p w:rsidR="00FA1ABE" w:rsidRPr="00FA1ABE" w:rsidRDefault="00FA1ABE" w:rsidP="00FA1ABE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FA1ABE">
        <w:rPr>
          <w:rFonts w:ascii="Arial" w:eastAsia="Times New Roman" w:hAnsi="Arial" w:cs="Arial"/>
          <w:sz w:val="24"/>
          <w:szCs w:val="24"/>
          <w:lang w:eastAsia="es-AR"/>
        </w:rPr>
        <w:t>Señor Presidente:</w:t>
      </w:r>
    </w:p>
    <w:p w:rsidR="00353C7A" w:rsidRPr="00FA1ABE" w:rsidRDefault="00353C7A" w:rsidP="00FA1AB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</w:p>
    <w:p w:rsidR="00353C7A" w:rsidRDefault="00353C7A" w:rsidP="00FA1ABE">
      <w:pPr>
        <w:spacing w:after="0" w:line="276" w:lineRule="auto"/>
        <w:jc w:val="both"/>
        <w:rPr>
          <w:rFonts w:ascii="Arial" w:eastAsia="Dotum" w:hAnsi="Arial" w:cs="Arial"/>
          <w:sz w:val="24"/>
          <w:szCs w:val="24"/>
        </w:rPr>
      </w:pPr>
      <w:r w:rsidRPr="00FA1ABE">
        <w:rPr>
          <w:rFonts w:ascii="Arial" w:eastAsia="Times New Roman" w:hAnsi="Arial" w:cs="Arial"/>
          <w:sz w:val="24"/>
          <w:szCs w:val="24"/>
          <w:lang w:eastAsia="es-AR"/>
        </w:rPr>
        <w:tab/>
        <w:t xml:space="preserve">El viernes 07 de junio del corriente se presenta en Paraná, el Libro </w:t>
      </w:r>
      <w:r w:rsidR="0037201B" w:rsidRPr="00FA1ABE">
        <w:rPr>
          <w:rFonts w:ascii="Arial" w:eastAsia="Times New Roman" w:hAnsi="Arial" w:cs="Arial"/>
          <w:sz w:val="24"/>
          <w:szCs w:val="24"/>
          <w:lang w:eastAsia="es-AR"/>
        </w:rPr>
        <w:t>“</w:t>
      </w:r>
      <w:r w:rsidRPr="00FA1ABE">
        <w:rPr>
          <w:rFonts w:ascii="Arial" w:eastAsia="Dotum" w:hAnsi="Arial" w:cs="Arial"/>
          <w:b/>
          <w:sz w:val="24"/>
          <w:szCs w:val="24"/>
        </w:rPr>
        <w:t xml:space="preserve">Crímenes Menores. Género y Poder Judicial, la trama de una disputa” </w:t>
      </w:r>
      <w:r w:rsidRPr="00FA1ABE">
        <w:rPr>
          <w:rFonts w:ascii="Arial" w:eastAsia="Dotum" w:hAnsi="Arial" w:cs="Arial"/>
          <w:sz w:val="24"/>
          <w:szCs w:val="24"/>
        </w:rPr>
        <w:t xml:space="preserve">de la Licenciada Sandra </w:t>
      </w:r>
      <w:r w:rsidR="0037201B" w:rsidRPr="00FA1ABE">
        <w:rPr>
          <w:rFonts w:ascii="Arial" w:eastAsia="Dotum" w:hAnsi="Arial" w:cs="Arial"/>
          <w:sz w:val="24"/>
          <w:szCs w:val="24"/>
        </w:rPr>
        <w:t xml:space="preserve">Viviana </w:t>
      </w:r>
      <w:proofErr w:type="spellStart"/>
      <w:r w:rsidRPr="00FA1ABE">
        <w:rPr>
          <w:rFonts w:ascii="Arial" w:eastAsia="Dotum" w:hAnsi="Arial" w:cs="Arial"/>
          <w:sz w:val="24"/>
          <w:szCs w:val="24"/>
        </w:rPr>
        <w:t>Miguez</w:t>
      </w:r>
      <w:proofErr w:type="spellEnd"/>
      <w:r w:rsidRPr="00FA1ABE">
        <w:rPr>
          <w:rFonts w:ascii="Arial" w:eastAsia="Dotum" w:hAnsi="Arial" w:cs="Arial"/>
          <w:sz w:val="24"/>
          <w:szCs w:val="24"/>
        </w:rPr>
        <w:t>.</w:t>
      </w:r>
    </w:p>
    <w:p w:rsidR="00FA1ABE" w:rsidRPr="00FA1ABE" w:rsidRDefault="00FA1ABE" w:rsidP="00FA1ABE">
      <w:pPr>
        <w:spacing w:after="0" w:line="276" w:lineRule="auto"/>
        <w:jc w:val="both"/>
        <w:rPr>
          <w:rFonts w:ascii="Arial" w:eastAsia="Dotum" w:hAnsi="Arial" w:cs="Arial"/>
          <w:sz w:val="24"/>
          <w:szCs w:val="24"/>
        </w:rPr>
      </w:pPr>
    </w:p>
    <w:p w:rsidR="00353C7A" w:rsidRPr="00FA1ABE" w:rsidRDefault="00353C7A" w:rsidP="00FA1ABE">
      <w:pPr>
        <w:spacing w:after="0" w:line="276" w:lineRule="auto"/>
        <w:ind w:firstLine="708"/>
        <w:jc w:val="both"/>
        <w:rPr>
          <w:rFonts w:ascii="Arial" w:eastAsia="Times New Roman" w:hAnsi="Arial" w:cs="Arial"/>
          <w:color w:val="222222"/>
          <w:sz w:val="24"/>
          <w:szCs w:val="24"/>
          <w:lang w:val="es-ES_tradnl" w:eastAsia="es-AR"/>
        </w:rPr>
      </w:pPr>
      <w:r w:rsidRPr="00FA1ABE">
        <w:rPr>
          <w:rFonts w:ascii="Arial" w:eastAsia="Dotum" w:hAnsi="Arial" w:cs="Arial"/>
          <w:sz w:val="24"/>
          <w:szCs w:val="24"/>
        </w:rPr>
        <w:t xml:space="preserve">La relevancia del mismo y su aporte son </w:t>
      </w:r>
      <w:r w:rsidR="0037201B" w:rsidRPr="00FA1ABE">
        <w:rPr>
          <w:rFonts w:ascii="Arial" w:eastAsia="Dotum" w:hAnsi="Arial" w:cs="Arial"/>
          <w:sz w:val="24"/>
          <w:szCs w:val="24"/>
        </w:rPr>
        <w:t>acertada y c</w:t>
      </w:r>
      <w:r w:rsidRPr="00FA1ABE">
        <w:rPr>
          <w:rFonts w:ascii="Arial" w:eastAsia="Dotum" w:hAnsi="Arial" w:cs="Arial"/>
          <w:sz w:val="24"/>
          <w:szCs w:val="24"/>
        </w:rPr>
        <w:t xml:space="preserve">laramente determinados en el prólogo que le dedica el Dr. Enrique </w:t>
      </w:r>
      <w:proofErr w:type="spellStart"/>
      <w:r w:rsidRPr="00FA1ABE">
        <w:rPr>
          <w:rFonts w:ascii="Arial" w:eastAsia="Dotum" w:hAnsi="Arial" w:cs="Arial"/>
          <w:sz w:val="24"/>
          <w:szCs w:val="24"/>
        </w:rPr>
        <w:t>Stola</w:t>
      </w:r>
      <w:proofErr w:type="spellEnd"/>
      <w:r w:rsidRPr="00FA1ABE">
        <w:rPr>
          <w:rFonts w:ascii="Arial" w:eastAsia="Dotum" w:hAnsi="Arial" w:cs="Arial"/>
          <w:sz w:val="24"/>
          <w:szCs w:val="24"/>
        </w:rPr>
        <w:t xml:space="preserve"> y la reseña en la </w:t>
      </w:r>
      <w:r w:rsidRPr="00CC4A31">
        <w:rPr>
          <w:rFonts w:ascii="Arial" w:eastAsia="Times New Roman" w:hAnsi="Arial" w:cs="Arial"/>
          <w:color w:val="222222"/>
          <w:sz w:val="24"/>
          <w:szCs w:val="24"/>
          <w:lang w:val="es-ES_tradnl" w:eastAsia="es-AR"/>
        </w:rPr>
        <w:t>contratapa</w:t>
      </w:r>
      <w:r w:rsidRPr="00FA1ABE">
        <w:rPr>
          <w:rFonts w:ascii="Arial" w:eastAsia="Times New Roman" w:hAnsi="Arial" w:cs="Arial"/>
          <w:color w:val="222222"/>
          <w:sz w:val="24"/>
          <w:szCs w:val="24"/>
          <w:lang w:val="es-ES_tradnl" w:eastAsia="es-AR"/>
        </w:rPr>
        <w:t xml:space="preserve"> de </w:t>
      </w:r>
      <w:r w:rsidRPr="00CC4A31">
        <w:rPr>
          <w:rFonts w:ascii="Arial" w:eastAsia="Times New Roman" w:hAnsi="Arial" w:cs="Arial"/>
          <w:color w:val="222222"/>
          <w:sz w:val="24"/>
          <w:szCs w:val="24"/>
          <w:lang w:val="es-ES_tradnl" w:eastAsia="es-AR"/>
        </w:rPr>
        <w:t xml:space="preserve">Julián </w:t>
      </w:r>
      <w:proofErr w:type="spellStart"/>
      <w:r w:rsidRPr="00CC4A31">
        <w:rPr>
          <w:rFonts w:ascii="Arial" w:eastAsia="Times New Roman" w:hAnsi="Arial" w:cs="Arial"/>
          <w:color w:val="222222"/>
          <w:sz w:val="24"/>
          <w:szCs w:val="24"/>
          <w:lang w:val="es-ES_tradnl" w:eastAsia="es-AR"/>
        </w:rPr>
        <w:t>Stopello</w:t>
      </w:r>
      <w:proofErr w:type="spellEnd"/>
      <w:r w:rsidRPr="00FA1ABE">
        <w:rPr>
          <w:rFonts w:ascii="Arial" w:eastAsia="Times New Roman" w:hAnsi="Arial" w:cs="Arial"/>
          <w:color w:val="222222"/>
          <w:sz w:val="24"/>
          <w:szCs w:val="24"/>
          <w:lang w:val="es-ES_tradnl" w:eastAsia="es-AR"/>
        </w:rPr>
        <w:t>, que aquí se transcriben</w:t>
      </w:r>
      <w:r w:rsidRPr="00CC4A31">
        <w:rPr>
          <w:rFonts w:ascii="Arial" w:eastAsia="Times New Roman" w:hAnsi="Arial" w:cs="Arial"/>
          <w:color w:val="222222"/>
          <w:sz w:val="24"/>
          <w:szCs w:val="24"/>
          <w:lang w:val="es-ES_tradnl" w:eastAsia="es-AR"/>
        </w:rPr>
        <w:t>:</w:t>
      </w:r>
    </w:p>
    <w:p w:rsidR="00353C7A" w:rsidRPr="00FA1ABE" w:rsidRDefault="00353C7A" w:rsidP="00FA1ABE">
      <w:pPr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ES_tradnl" w:eastAsia="es-AR"/>
        </w:rPr>
      </w:pPr>
    </w:p>
    <w:p w:rsidR="00CC4A31" w:rsidRPr="00CC4A31" w:rsidRDefault="00353C7A" w:rsidP="00FA1ABE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es-AR"/>
        </w:rPr>
      </w:pPr>
      <w:r w:rsidRPr="00FA1ABE">
        <w:rPr>
          <w:rFonts w:ascii="Arial" w:eastAsia="Times New Roman" w:hAnsi="Arial" w:cs="Arial"/>
          <w:b/>
          <w:sz w:val="24"/>
          <w:szCs w:val="24"/>
          <w:lang w:eastAsia="es-AR"/>
        </w:rPr>
        <w:t xml:space="preserve"> </w:t>
      </w:r>
      <w:r w:rsidR="00CC4A31" w:rsidRPr="00CC4A31">
        <w:rPr>
          <w:rFonts w:ascii="Arial" w:eastAsia="Times New Roman" w:hAnsi="Arial" w:cs="Arial"/>
          <w:b/>
          <w:sz w:val="24"/>
          <w:szCs w:val="24"/>
          <w:lang w:eastAsia="es-AR"/>
        </w:rPr>
        <w:t xml:space="preserve">1- Prologo de Enrique </w:t>
      </w:r>
      <w:proofErr w:type="spellStart"/>
      <w:r w:rsidR="00CC4A31" w:rsidRPr="00CC4A31">
        <w:rPr>
          <w:rFonts w:ascii="Arial" w:eastAsia="Times New Roman" w:hAnsi="Arial" w:cs="Arial"/>
          <w:b/>
          <w:sz w:val="24"/>
          <w:szCs w:val="24"/>
          <w:lang w:eastAsia="es-AR"/>
        </w:rPr>
        <w:t>Stola</w:t>
      </w:r>
      <w:proofErr w:type="spellEnd"/>
      <w:r w:rsidR="00CC4A31" w:rsidRPr="00CC4A31">
        <w:rPr>
          <w:rFonts w:ascii="Arial" w:eastAsia="Times New Roman" w:hAnsi="Arial" w:cs="Arial"/>
          <w:b/>
          <w:sz w:val="24"/>
          <w:szCs w:val="24"/>
          <w:lang w:eastAsia="es-AR"/>
        </w:rPr>
        <w:t>:</w:t>
      </w:r>
    </w:p>
    <w:p w:rsidR="00CC4A31" w:rsidRPr="00CC4A31" w:rsidRDefault="00CC4A31" w:rsidP="00FA1AB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</w:p>
    <w:p w:rsidR="00CC4A31" w:rsidRPr="00CC4A31" w:rsidRDefault="0037201B" w:rsidP="00FA1AB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eastAsia="es-AR"/>
        </w:rPr>
      </w:pPr>
      <w:r w:rsidRPr="00FA1ABE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“</w:t>
      </w:r>
      <w:r w:rsidR="00CC4A31"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He aquí un enorme aporte de Sandra </w:t>
      </w:r>
      <w:proofErr w:type="spellStart"/>
      <w:r w:rsidR="00CC4A31"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Miguez</w:t>
      </w:r>
      <w:proofErr w:type="spellEnd"/>
      <w:r w:rsidR="00CC4A31"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 a los feminismos y al amplio movimiento de mujeres que nos muestra las enormes dificultades que la institución judicial, hegemónicamente machista y conservadora, plantea a la </w:t>
      </w:r>
      <w:proofErr w:type="spellStart"/>
      <w:r w:rsidR="00CC4A31"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efectivización</w:t>
      </w:r>
      <w:proofErr w:type="spellEnd"/>
      <w:r w:rsidR="00CC4A31"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 de los derechos de mujeres, </w:t>
      </w:r>
      <w:proofErr w:type="spellStart"/>
      <w:r w:rsidR="00CC4A31"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niñes</w:t>
      </w:r>
      <w:proofErr w:type="spellEnd"/>
      <w:r w:rsidR="00CC4A31"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 y LGTBIQ.</w:t>
      </w:r>
    </w:p>
    <w:p w:rsidR="00CC4A31" w:rsidRPr="00CC4A31" w:rsidRDefault="00CC4A31" w:rsidP="00FA1AB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eastAsia="es-AR"/>
        </w:rPr>
      </w:pPr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Micaela García es el nombre de la joven asesinada en Concepción del Uruguay, Provincia de Entre Ríos.</w:t>
      </w:r>
    </w:p>
    <w:p w:rsidR="00CC4A31" w:rsidRPr="00CC4A31" w:rsidRDefault="00CC4A31" w:rsidP="00FA1AB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eastAsia="es-AR"/>
        </w:rPr>
      </w:pPr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Las acciones de Sebastián Wagner, Carlos </w:t>
      </w:r>
      <w:proofErr w:type="spellStart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Rossi</w:t>
      </w:r>
      <w:proofErr w:type="spellEnd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 y Jorge García son los fuertes indicadores que analiza Sandra </w:t>
      </w:r>
      <w:proofErr w:type="spellStart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Miguez</w:t>
      </w:r>
      <w:proofErr w:type="spellEnd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 para mostrarnos la casi invisible red de alianzas que sostiene a la fratria masculina en el ámbito de la llamada justicia.</w:t>
      </w:r>
    </w:p>
    <w:p w:rsidR="00CC4A31" w:rsidRPr="00CC4A31" w:rsidRDefault="00CC4A31" w:rsidP="00FA1AB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eastAsia="es-AR"/>
        </w:rPr>
      </w:pPr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Quienes accedan a este libro se introducirán en las entrañas del poder judicial patriarcal y, en las justificaciones para desestimar la responsabilidad del juez </w:t>
      </w:r>
      <w:proofErr w:type="spellStart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Rossi</w:t>
      </w:r>
      <w:proofErr w:type="spellEnd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, encontrarán las argumentaciones a los que recurre la corporación para sostenerse a sí misma.</w:t>
      </w:r>
    </w:p>
    <w:p w:rsidR="00CC4A31" w:rsidRPr="00CC4A31" w:rsidRDefault="00CC4A31" w:rsidP="00FA1AB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eastAsia="es-AR"/>
        </w:rPr>
      </w:pPr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La noche del lunes 24 de julio de 2018 coincidí con la prestigiosa antropóloga Rita </w:t>
      </w:r>
      <w:proofErr w:type="spellStart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Segato</w:t>
      </w:r>
      <w:proofErr w:type="spellEnd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 en el último vuelo del día desde Buenos Aires a la ciudad de Paraná, con el peso de la responsabilidad de haber sido propuestos por la Asamblea de Mujeres y Lesbianas, Travestis y </w:t>
      </w:r>
      <w:proofErr w:type="spellStart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Trans</w:t>
      </w:r>
      <w:proofErr w:type="spellEnd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 para ser testigos de contexto en el </w:t>
      </w:r>
      <w:proofErr w:type="spellStart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Jury</w:t>
      </w:r>
      <w:proofErr w:type="spellEnd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 del Juez Carlos </w:t>
      </w:r>
      <w:proofErr w:type="spellStart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Rossi</w:t>
      </w:r>
      <w:proofErr w:type="spellEnd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.</w:t>
      </w:r>
    </w:p>
    <w:p w:rsidR="00CC4A31" w:rsidRPr="00CC4A31" w:rsidRDefault="00CC4A31" w:rsidP="00FA1AB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eastAsia="es-AR"/>
        </w:rPr>
      </w:pPr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Teníamos la información de que al llegar íbamos a tener una reunión con el Procurador de la Provincia, Dr. Jorge García, quien era el encargado de sostener la acusación contra </w:t>
      </w:r>
      <w:proofErr w:type="spellStart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Rossi</w:t>
      </w:r>
      <w:proofErr w:type="spellEnd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.</w:t>
      </w:r>
    </w:p>
    <w:p w:rsidR="00CC4A31" w:rsidRPr="00CC4A31" w:rsidRDefault="00CC4A31" w:rsidP="00FA1AB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eastAsia="es-AR"/>
        </w:rPr>
      </w:pPr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lastRenderedPageBreak/>
        <w:t>El encuentro se produjo en el lugar donde nos alojaron y mientras degustábamos unas empanadas.</w:t>
      </w:r>
    </w:p>
    <w:p w:rsidR="00CC4A31" w:rsidRPr="00CC4A31" w:rsidRDefault="00CC4A31" w:rsidP="00FA1AB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eastAsia="es-AR"/>
        </w:rPr>
      </w:pPr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Me sentí cómodo en la reunión y tenía la sensación de que todas y todos estábamos con el objetivo de lograr justicia, intercambiando ideas, escuchando las elaboraciones teóricas que sobre la marcha iba desgranando Rita </w:t>
      </w:r>
      <w:proofErr w:type="spellStart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Segato</w:t>
      </w:r>
      <w:proofErr w:type="spellEnd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 y también los aportes teóricos de Jorge García. En ese momento hubiera asegurado en que acordábamos en que ese importantísimo juicio era un espacio donde el rol del juez y de los mecanismos de la justicia patriarcal iban a ser visibilizados y sancionados.</w:t>
      </w:r>
    </w:p>
    <w:p w:rsidR="00CC4A31" w:rsidRPr="00CC4A31" w:rsidRDefault="00CC4A31" w:rsidP="00FA1AB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eastAsia="es-AR"/>
        </w:rPr>
      </w:pPr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Lo que nunca imaginamos, porque en esa reunión el procurador Jorge García no lo informó, era que él no iba a acusar y que su intervención sería fundamental para sostener al juez </w:t>
      </w:r>
      <w:proofErr w:type="spellStart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Rossi</w:t>
      </w:r>
      <w:proofErr w:type="spellEnd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 y a la corporación judicial.</w:t>
      </w:r>
    </w:p>
    <w:p w:rsidR="00CC4A31" w:rsidRPr="00CC4A31" w:rsidRDefault="00CC4A31" w:rsidP="00FA1AB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eastAsia="es-AR"/>
        </w:rPr>
      </w:pPr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En cualquier lugar del mundo se llama traición la conducta que tuvo esa noche y en los siguientes días el Procurador de la Provincia de Entre Ríos.</w:t>
      </w:r>
    </w:p>
    <w:p w:rsidR="00CC4A31" w:rsidRPr="00CC4A31" w:rsidRDefault="00CC4A31" w:rsidP="00FA1AB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eastAsia="es-AR"/>
        </w:rPr>
      </w:pPr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Un procurador que no acusa es un espejo que proyecta la experiencia de cientos de mujeres y </w:t>
      </w:r>
      <w:proofErr w:type="spellStart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niñes</w:t>
      </w:r>
      <w:proofErr w:type="spellEnd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 en situación de violencia que en sede judicial tienen además que sufrir la agresión supletoria de fiscales que se comportan como eximios defensores de los hombres que la violentaron.</w:t>
      </w:r>
    </w:p>
    <w:p w:rsidR="00CC4A31" w:rsidRPr="00CC4A31" w:rsidRDefault="00CC4A31" w:rsidP="00FA1AB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eastAsia="es-AR"/>
        </w:rPr>
      </w:pPr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Sandra </w:t>
      </w:r>
      <w:proofErr w:type="spellStart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Miguez</w:t>
      </w:r>
      <w:proofErr w:type="spellEnd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, concretó en este libro un gran trabajo de investigación y recopilación de las principales intervenciones que merecen una lectura analítica y pausada. </w:t>
      </w:r>
    </w:p>
    <w:p w:rsidR="00CC4A31" w:rsidRPr="00CC4A31" w:rsidRDefault="00CC4A31" w:rsidP="00FA1AB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eastAsia="es-AR"/>
        </w:rPr>
      </w:pPr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Realiza una crítica al discurso del derecho institucionalizado apoyándose en los valiosos aportes de </w:t>
      </w:r>
      <w:proofErr w:type="spellStart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reconocidxs</w:t>
      </w:r>
      <w:proofErr w:type="spellEnd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 intelectuales y debemos agradecerle a </w:t>
      </w:r>
      <w:proofErr w:type="spellStart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Miguez</w:t>
      </w:r>
      <w:proofErr w:type="spellEnd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 que haya rescatado la elaboración que para este juicio produjo Rita </w:t>
      </w:r>
      <w:proofErr w:type="spellStart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Segato</w:t>
      </w:r>
      <w:proofErr w:type="spellEnd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.</w:t>
      </w:r>
    </w:p>
    <w:p w:rsidR="00CC4A31" w:rsidRPr="00CC4A31" w:rsidRDefault="00CC4A31" w:rsidP="00FA1AB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eastAsia="es-AR"/>
        </w:rPr>
      </w:pPr>
      <w:r w:rsidRPr="00CC4A31">
        <w:rPr>
          <w:rFonts w:ascii="Arial" w:eastAsia="Times New Roman" w:hAnsi="Arial" w:cs="Arial"/>
          <w:i/>
          <w:iCs/>
          <w:color w:val="222222"/>
          <w:sz w:val="24"/>
          <w:szCs w:val="24"/>
          <w:lang w:val="es-ES_tradnl" w:eastAsia="es-AR"/>
        </w:rPr>
        <w:t>Crímenes menores </w:t>
      </w:r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es un adecuado título para un libro que nos demostrará el lugar que el derecho y la institución judicial del Estado patriarcal reservó para los delitos contra las mujeres, </w:t>
      </w:r>
      <w:proofErr w:type="spellStart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niñes</w:t>
      </w:r>
      <w:proofErr w:type="spellEnd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 y LGTBIQ. Un Poder Judicial que todavía niega la violencia estructural contra las mujeres y que hoy está fuertemente cuestionado por la lucha de los cuerpos subordinados expresados políticamente en los feminismos.</w:t>
      </w:r>
    </w:p>
    <w:p w:rsidR="00CC4A31" w:rsidRPr="00CC4A31" w:rsidRDefault="00CC4A31" w:rsidP="00FA1AB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eastAsia="es-AR"/>
        </w:rPr>
      </w:pPr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Invito a leer este gran aporte de Sandra </w:t>
      </w:r>
      <w:proofErr w:type="spellStart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Miguez</w:t>
      </w:r>
      <w:proofErr w:type="spellEnd"/>
      <w:r w:rsidRPr="00CC4A31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 xml:space="preserve"> y por mi parte le agradezco su esfuerzo y contribución, pues es un texto para aprender, reflexionar y debatir sobre el Estado Patriarcal y su institución más conservadora, el Poder Judicial.</w:t>
      </w:r>
      <w:r w:rsidR="0037201B" w:rsidRPr="00FA1ABE">
        <w:rPr>
          <w:rFonts w:ascii="Arial" w:eastAsia="Times New Roman" w:hAnsi="Arial" w:cs="Arial"/>
          <w:i/>
          <w:color w:val="222222"/>
          <w:sz w:val="24"/>
          <w:szCs w:val="24"/>
          <w:lang w:val="es-ES_tradnl" w:eastAsia="es-AR"/>
        </w:rPr>
        <w:t>”</w:t>
      </w:r>
    </w:p>
    <w:p w:rsidR="00CC4A31" w:rsidRPr="00CC4A31" w:rsidRDefault="0037201B" w:rsidP="00FA1AB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FA1ABE">
        <w:rPr>
          <w:rFonts w:ascii="Arial" w:eastAsia="Times New Roman" w:hAnsi="Arial" w:cs="Arial"/>
          <w:color w:val="222222"/>
          <w:sz w:val="24"/>
          <w:szCs w:val="24"/>
          <w:lang w:val="es-ES_tradnl" w:eastAsia="es-AR"/>
        </w:rPr>
        <w:t xml:space="preserve">Enrique </w:t>
      </w:r>
      <w:proofErr w:type="spellStart"/>
      <w:r w:rsidRPr="00FA1ABE">
        <w:rPr>
          <w:rFonts w:ascii="Arial" w:eastAsia="Times New Roman" w:hAnsi="Arial" w:cs="Arial"/>
          <w:color w:val="222222"/>
          <w:sz w:val="24"/>
          <w:szCs w:val="24"/>
          <w:lang w:val="es-ES_tradnl" w:eastAsia="es-AR"/>
        </w:rPr>
        <w:t>Stola</w:t>
      </w:r>
      <w:proofErr w:type="spellEnd"/>
      <w:r w:rsidRPr="00FA1ABE">
        <w:rPr>
          <w:rFonts w:ascii="Arial" w:eastAsia="Times New Roman" w:hAnsi="Arial" w:cs="Arial"/>
          <w:color w:val="222222"/>
          <w:sz w:val="24"/>
          <w:szCs w:val="24"/>
          <w:lang w:val="es-ES_tradnl" w:eastAsia="es-AR"/>
        </w:rPr>
        <w:t xml:space="preserve"> - </w:t>
      </w:r>
      <w:r w:rsidR="00CC4A31" w:rsidRPr="00CC4A31">
        <w:rPr>
          <w:rFonts w:ascii="Arial" w:eastAsia="Times New Roman" w:hAnsi="Arial" w:cs="Arial"/>
          <w:color w:val="222222"/>
          <w:sz w:val="24"/>
          <w:szCs w:val="24"/>
          <w:lang w:val="es-ES_tradnl" w:eastAsia="es-AR"/>
        </w:rPr>
        <w:t>Buenos Aires, 10 de mayo de 2019</w:t>
      </w:r>
    </w:p>
    <w:p w:rsidR="00CC4A31" w:rsidRPr="00CC4A31" w:rsidRDefault="00CC4A31" w:rsidP="00FA1AB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</w:p>
    <w:p w:rsidR="00CC4A31" w:rsidRPr="00FA1ABE" w:rsidRDefault="00CC4A31" w:rsidP="00FA1AB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val="es-ES_tradnl" w:eastAsia="es-AR"/>
        </w:rPr>
      </w:pPr>
      <w:r w:rsidRPr="00CC4A31">
        <w:rPr>
          <w:rFonts w:ascii="Arial" w:eastAsia="Times New Roman" w:hAnsi="Arial" w:cs="Arial"/>
          <w:b/>
          <w:color w:val="222222"/>
          <w:sz w:val="24"/>
          <w:szCs w:val="24"/>
          <w:lang w:val="es-ES_tradnl" w:eastAsia="es-AR"/>
        </w:rPr>
        <w:t xml:space="preserve">2- Julián </w:t>
      </w:r>
      <w:proofErr w:type="spellStart"/>
      <w:r w:rsidRPr="00CC4A31">
        <w:rPr>
          <w:rFonts w:ascii="Arial" w:eastAsia="Times New Roman" w:hAnsi="Arial" w:cs="Arial"/>
          <w:b/>
          <w:color w:val="222222"/>
          <w:sz w:val="24"/>
          <w:szCs w:val="24"/>
          <w:lang w:val="es-ES_tradnl" w:eastAsia="es-AR"/>
        </w:rPr>
        <w:t>Stopello</w:t>
      </w:r>
      <w:proofErr w:type="spellEnd"/>
      <w:r w:rsidRPr="00CC4A31">
        <w:rPr>
          <w:rFonts w:ascii="Arial" w:eastAsia="Times New Roman" w:hAnsi="Arial" w:cs="Arial"/>
          <w:b/>
          <w:color w:val="222222"/>
          <w:sz w:val="24"/>
          <w:szCs w:val="24"/>
          <w:lang w:val="es-ES_tradnl" w:eastAsia="es-AR"/>
        </w:rPr>
        <w:t xml:space="preserve">: </w:t>
      </w:r>
      <w:r w:rsidR="0037201B" w:rsidRPr="00FA1ABE">
        <w:rPr>
          <w:rFonts w:ascii="Arial" w:eastAsia="Times New Roman" w:hAnsi="Arial" w:cs="Arial"/>
          <w:b/>
          <w:color w:val="222222"/>
          <w:sz w:val="24"/>
          <w:szCs w:val="24"/>
          <w:lang w:val="es-ES_tradnl" w:eastAsia="es-AR"/>
        </w:rPr>
        <w:t>C</w:t>
      </w:r>
      <w:r w:rsidRPr="00CC4A31">
        <w:rPr>
          <w:rFonts w:ascii="Arial" w:eastAsia="Times New Roman" w:hAnsi="Arial" w:cs="Arial"/>
          <w:b/>
          <w:color w:val="222222"/>
          <w:sz w:val="24"/>
          <w:szCs w:val="24"/>
          <w:lang w:val="es-ES_tradnl" w:eastAsia="es-AR"/>
        </w:rPr>
        <w:t>ontratapa</w:t>
      </w:r>
      <w:r w:rsidR="0037201B" w:rsidRPr="00FA1ABE">
        <w:rPr>
          <w:rFonts w:ascii="Arial" w:eastAsia="Times New Roman" w:hAnsi="Arial" w:cs="Arial"/>
          <w:b/>
          <w:color w:val="222222"/>
          <w:sz w:val="24"/>
          <w:szCs w:val="24"/>
          <w:lang w:val="es-ES_tradnl" w:eastAsia="es-AR"/>
        </w:rPr>
        <w:t>:</w:t>
      </w:r>
    </w:p>
    <w:p w:rsidR="00353C7A" w:rsidRPr="00CC4A31" w:rsidRDefault="00353C7A" w:rsidP="00FA1AB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</w:p>
    <w:p w:rsidR="00CC4A31" w:rsidRPr="00CC4A31" w:rsidRDefault="0037201B" w:rsidP="00FA1AB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es-AR"/>
        </w:rPr>
      </w:pPr>
      <w:r w:rsidRPr="00FA1ABE">
        <w:rPr>
          <w:rFonts w:ascii="Arial" w:eastAsia="Times New Roman" w:hAnsi="Arial" w:cs="Arial"/>
          <w:i/>
          <w:color w:val="000000"/>
          <w:sz w:val="24"/>
          <w:szCs w:val="24"/>
          <w:lang w:eastAsia="es-AR"/>
        </w:rPr>
        <w:t>“</w:t>
      </w:r>
      <w:r w:rsidR="00CC4A31" w:rsidRPr="00CC4A31">
        <w:rPr>
          <w:rFonts w:ascii="Arial" w:eastAsia="Times New Roman" w:hAnsi="Arial" w:cs="Arial"/>
          <w:i/>
          <w:color w:val="000000"/>
          <w:sz w:val="24"/>
          <w:szCs w:val="24"/>
          <w:lang w:eastAsia="es-AR"/>
        </w:rPr>
        <w:t>El asesinato de Micaela García fue sísmico. La noticia y la repercusión de su ausencia ya había</w:t>
      </w:r>
      <w:r w:rsidRPr="00FA1ABE">
        <w:rPr>
          <w:rFonts w:ascii="Arial" w:eastAsia="Times New Roman" w:hAnsi="Arial" w:cs="Arial"/>
          <w:i/>
          <w:color w:val="000000"/>
          <w:sz w:val="24"/>
          <w:szCs w:val="24"/>
          <w:lang w:eastAsia="es-AR"/>
        </w:rPr>
        <w:t>n</w:t>
      </w:r>
      <w:r w:rsidR="00CC4A31" w:rsidRPr="00CC4A31">
        <w:rPr>
          <w:rFonts w:ascii="Arial" w:eastAsia="Times New Roman" w:hAnsi="Arial" w:cs="Arial"/>
          <w:i/>
          <w:color w:val="000000"/>
          <w:sz w:val="24"/>
          <w:szCs w:val="24"/>
          <w:lang w:eastAsia="es-AR"/>
        </w:rPr>
        <w:t xml:space="preserve"> desencadenado una nube de angustia creciente: un aura de fatalidad y horror. Con el hallazgo y la comprobación del feminicidio, la posterior captura del matador, su prontuario y los detalles, la resonancia fue creciente, en dolor y estruendo, trascendiendo fronteras.</w:t>
      </w:r>
    </w:p>
    <w:p w:rsidR="00CC4A31" w:rsidRPr="00CC4A31" w:rsidRDefault="00CC4A31" w:rsidP="00FA1AB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es-AR"/>
        </w:rPr>
      </w:pPr>
      <w:r w:rsidRPr="00CC4A31">
        <w:rPr>
          <w:rFonts w:ascii="Arial" w:eastAsia="Times New Roman" w:hAnsi="Arial" w:cs="Arial"/>
          <w:i/>
          <w:color w:val="000000"/>
          <w:sz w:val="24"/>
          <w:szCs w:val="24"/>
          <w:lang w:eastAsia="es-AR"/>
        </w:rPr>
        <w:t xml:space="preserve">En “Crímenes Menores”, Sandra </w:t>
      </w:r>
      <w:proofErr w:type="spellStart"/>
      <w:r w:rsidRPr="00CC4A31">
        <w:rPr>
          <w:rFonts w:ascii="Arial" w:eastAsia="Times New Roman" w:hAnsi="Arial" w:cs="Arial"/>
          <w:i/>
          <w:color w:val="000000"/>
          <w:sz w:val="24"/>
          <w:szCs w:val="24"/>
          <w:lang w:eastAsia="es-AR"/>
        </w:rPr>
        <w:t>Miguez</w:t>
      </w:r>
      <w:proofErr w:type="spellEnd"/>
      <w:r w:rsidRPr="00CC4A31">
        <w:rPr>
          <w:rFonts w:ascii="Arial" w:eastAsia="Times New Roman" w:hAnsi="Arial" w:cs="Arial"/>
          <w:i/>
          <w:color w:val="000000"/>
          <w:sz w:val="24"/>
          <w:szCs w:val="24"/>
          <w:lang w:eastAsia="es-AR"/>
        </w:rPr>
        <w:t xml:space="preserve"> reúne el material necesario para hacer algunas preguntas que ayudan a mirar lo que pasó y lo que pasa. Tal vez la primera y la más importante para empezar: ¿qué sistema de fuerzas, pensamientos y análisis han regido la justicia entrerriana para que Sebastián Wagner estuviera en condiciones el 1 de abril de 2017 de asesinar a Micaela García?</w:t>
      </w:r>
    </w:p>
    <w:p w:rsidR="00CC4A31" w:rsidRPr="00CC4A31" w:rsidRDefault="00CC4A31" w:rsidP="00FA1AB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es-AR"/>
        </w:rPr>
      </w:pPr>
      <w:r w:rsidRPr="00CC4A31">
        <w:rPr>
          <w:rFonts w:ascii="Arial" w:eastAsia="Times New Roman" w:hAnsi="Arial" w:cs="Arial"/>
          <w:i/>
          <w:color w:val="000000"/>
          <w:sz w:val="24"/>
          <w:szCs w:val="24"/>
          <w:lang w:eastAsia="es-AR"/>
        </w:rPr>
        <w:t xml:space="preserve">Este arduo compendio de análisis y argumentos -en el marco del frustrado </w:t>
      </w:r>
      <w:proofErr w:type="spellStart"/>
      <w:r w:rsidRPr="00CC4A31">
        <w:rPr>
          <w:rFonts w:ascii="Arial" w:eastAsia="Times New Roman" w:hAnsi="Arial" w:cs="Arial"/>
          <w:i/>
          <w:color w:val="000000"/>
          <w:sz w:val="24"/>
          <w:szCs w:val="24"/>
          <w:lang w:eastAsia="es-AR"/>
        </w:rPr>
        <w:t>jury</w:t>
      </w:r>
      <w:proofErr w:type="spellEnd"/>
      <w:r w:rsidRPr="00CC4A31">
        <w:rPr>
          <w:rFonts w:ascii="Arial" w:eastAsia="Times New Roman" w:hAnsi="Arial" w:cs="Arial"/>
          <w:i/>
          <w:color w:val="000000"/>
          <w:sz w:val="24"/>
          <w:szCs w:val="24"/>
          <w:lang w:eastAsia="es-AR"/>
        </w:rPr>
        <w:t xml:space="preserve"> al juez de Ejecución Penal de Gualeguaychú, Carlos </w:t>
      </w:r>
      <w:proofErr w:type="spellStart"/>
      <w:r w:rsidRPr="00CC4A31">
        <w:rPr>
          <w:rFonts w:ascii="Arial" w:eastAsia="Times New Roman" w:hAnsi="Arial" w:cs="Arial"/>
          <w:i/>
          <w:color w:val="000000"/>
          <w:sz w:val="24"/>
          <w:szCs w:val="24"/>
          <w:lang w:eastAsia="es-AR"/>
        </w:rPr>
        <w:t>Rossi</w:t>
      </w:r>
      <w:proofErr w:type="spellEnd"/>
      <w:r w:rsidRPr="00CC4A31">
        <w:rPr>
          <w:rFonts w:ascii="Arial" w:eastAsia="Times New Roman" w:hAnsi="Arial" w:cs="Arial"/>
          <w:i/>
          <w:color w:val="000000"/>
          <w:sz w:val="24"/>
          <w:szCs w:val="24"/>
          <w:lang w:eastAsia="es-AR"/>
        </w:rPr>
        <w:t>, que hizo posible desde su responsabilidad institucional la libertad de Wagner- viene a explicar por qué la justicia parece impermeable a una ética del cuidado, que atienda las desigualdades existentes hasta hoy desde una perspectiva de género. </w:t>
      </w:r>
    </w:p>
    <w:p w:rsidR="00CC4A31" w:rsidRPr="00FA1ABE" w:rsidRDefault="00CC4A31" w:rsidP="00FA1AB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es-AR"/>
        </w:rPr>
      </w:pPr>
      <w:r w:rsidRPr="00CC4A31">
        <w:rPr>
          <w:rFonts w:ascii="Arial" w:eastAsia="Times New Roman" w:hAnsi="Arial" w:cs="Arial"/>
          <w:i/>
          <w:color w:val="000000"/>
          <w:sz w:val="24"/>
          <w:szCs w:val="24"/>
          <w:lang w:eastAsia="es-AR"/>
        </w:rPr>
        <w:t xml:space="preserve">Más aún, en “Crímenes Menores”, Sandra </w:t>
      </w:r>
      <w:proofErr w:type="spellStart"/>
      <w:r w:rsidRPr="00CC4A31">
        <w:rPr>
          <w:rFonts w:ascii="Arial" w:eastAsia="Times New Roman" w:hAnsi="Arial" w:cs="Arial"/>
          <w:i/>
          <w:color w:val="000000"/>
          <w:sz w:val="24"/>
          <w:szCs w:val="24"/>
          <w:lang w:eastAsia="es-AR"/>
        </w:rPr>
        <w:t>Miguez</w:t>
      </w:r>
      <w:proofErr w:type="spellEnd"/>
      <w:r w:rsidRPr="00CC4A31">
        <w:rPr>
          <w:rFonts w:ascii="Arial" w:eastAsia="Times New Roman" w:hAnsi="Arial" w:cs="Arial"/>
          <w:i/>
          <w:color w:val="000000"/>
          <w:sz w:val="24"/>
          <w:szCs w:val="24"/>
          <w:lang w:eastAsia="es-AR"/>
        </w:rPr>
        <w:t xml:space="preserve"> deja sobre la mesa de la agenda pública algunas razones fundamentales para observar y entender el estado de las instituciones, que en vez de modificar ciertas lógicas para incidir positivamente en las transformaciones sociales necesarias y urgentes, reproducen el sistema que sigue considerando la agresión de género un crimen menor, lo que habilita tal vez hoy -ojalá nunca- que un hombre como Wagner pueda encontrarse en otra ciudad de esta provincia con una víctima como Micaela.</w:t>
      </w:r>
      <w:r w:rsidR="0037201B" w:rsidRPr="00FA1ABE">
        <w:rPr>
          <w:rFonts w:ascii="Arial" w:eastAsia="Times New Roman" w:hAnsi="Arial" w:cs="Arial"/>
          <w:i/>
          <w:color w:val="000000"/>
          <w:sz w:val="24"/>
          <w:szCs w:val="24"/>
          <w:lang w:eastAsia="es-AR"/>
        </w:rPr>
        <w:t>”</w:t>
      </w:r>
    </w:p>
    <w:p w:rsidR="00CC4A31" w:rsidRPr="00FA1ABE" w:rsidRDefault="00CC4A31" w:rsidP="00FA1AB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es-AR"/>
        </w:rPr>
      </w:pPr>
      <w:r w:rsidRPr="00FA1ABE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es-AR"/>
        </w:rPr>
        <w:t>SANDRA VIVIANA MIGUEZ</w:t>
      </w:r>
    </w:p>
    <w:p w:rsidR="00CC4A31" w:rsidRPr="00FA1ABE" w:rsidRDefault="00CC4A31" w:rsidP="00FA1AB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FA1ABE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Nació el 20 de diciembre de 1965 en Avellaneda, Buenos Aires. Es </w:t>
      </w:r>
      <w:r w:rsidR="00D12BCC" w:rsidRPr="00FA1ABE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L</w:t>
      </w:r>
      <w:r w:rsidRPr="00FA1ABE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icenciada en Comunicación Social por la Universidad Nacional de Entre Ríos, especializada en género y salud. En </w:t>
      </w:r>
      <w:r w:rsidR="00D12BCC" w:rsidRPr="00FA1ABE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más</w:t>
      </w:r>
      <w:r w:rsidRPr="00FA1ABE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de 30 años de carrera como periodista ha trabajado en medios radiales, televisivos, gráficos y digitales, abordando fundamentalmente temas sociales, de salud, de política y de género. Es columnista en género y conductora del programa “Y de repente la noche” desde una perspectiva de comunicación humana, en la emisora de la Universidad Nacional de Entre Ríos (UENR), que se </w:t>
      </w:r>
      <w:r w:rsidR="00D12BCC" w:rsidRPr="00FA1ABE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emite</w:t>
      </w:r>
      <w:r w:rsidRPr="00FA1ABE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además en radios de Misiones, Jujuy y Entre Ríos. Ha publicado diferentes ensayos; “Los desafíos de la comunicación en salud” en Periodismo Social y “La autocrítica de los profesionales de la Información: Entre la ética y la moral” en el libro “Información para la Paz. Autocrítica de los medios y responsabilidad del Público”, Fundación Coso de la Comunidad Valenciana. Valencia 2005. Recibió una Mención de Honor al Periodismo en medios gráficos por su artículo </w:t>
      </w:r>
      <w:r w:rsidR="00D12BCC" w:rsidRPr="00FA1ABE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“El arte de vivir con fe”, informe sobre la desnutrición de los chicos entrerrianos, publicado en Mayo de 2005. Participa activamente en distintas organizaciones sociales, feministas y de periodistas. Dicta talleres y seminarios sobre temas sociales, de salud y de género en el país, participando además en distintas convocatorias universitarias de la Argentina y del exterior</w:t>
      </w:r>
      <w:r w:rsidR="0037201B" w:rsidRPr="00FA1ABE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.</w:t>
      </w:r>
    </w:p>
    <w:p w:rsidR="00FA1ABE" w:rsidRPr="00FA1ABE" w:rsidRDefault="0037201B" w:rsidP="00FA1ABE">
      <w:pPr>
        <w:shd w:val="clear" w:color="auto" w:fill="FFFFFF"/>
        <w:spacing w:line="276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FA1ABE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En virtud de la relevancia del Libro en cuestión propongo el prese</w:t>
      </w:r>
      <w:r w:rsidR="00FA1ABE" w:rsidRPr="00FA1ABE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nte Proyecto de Declaración</w:t>
      </w:r>
      <w:r w:rsidRPr="00FA1ABE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, solicitando a mis pares el acompañamiento para su consiguiente aprobación.</w:t>
      </w:r>
    </w:p>
    <w:p w:rsidR="00FA1ABE" w:rsidRPr="00FA1ABE" w:rsidRDefault="00FA1ABE" w:rsidP="00FA1ABE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FA1ABE">
        <w:rPr>
          <w:rFonts w:ascii="Arial" w:eastAsia="Times New Roman" w:hAnsi="Arial" w:cs="Arial"/>
          <w:color w:val="000000"/>
          <w:sz w:val="24"/>
          <w:szCs w:val="24"/>
          <w:lang w:eastAsia="es-AR"/>
        </w:rPr>
        <w:br w:type="page"/>
      </w:r>
    </w:p>
    <w:p w:rsidR="00FA1ABE" w:rsidRPr="00FA1ABE" w:rsidRDefault="00FA1ABE" w:rsidP="00FA1ABE">
      <w:pPr>
        <w:spacing w:line="276" w:lineRule="auto"/>
        <w:jc w:val="center"/>
        <w:rPr>
          <w:rFonts w:ascii="Arial" w:eastAsia="Dotum" w:hAnsi="Arial" w:cs="Arial"/>
          <w:b/>
          <w:sz w:val="24"/>
          <w:szCs w:val="24"/>
        </w:rPr>
      </w:pPr>
      <w:r w:rsidRPr="00FA1ABE">
        <w:rPr>
          <w:rFonts w:ascii="Arial" w:eastAsia="Dotum" w:hAnsi="Arial" w:cs="Arial"/>
          <w:b/>
          <w:sz w:val="24"/>
          <w:szCs w:val="24"/>
        </w:rPr>
        <w:t>LA HONORABLE CÁMARA DE SENADORES DE LA PROVINCIA DE ENTRE RIOS</w:t>
      </w:r>
    </w:p>
    <w:p w:rsidR="00FA1ABE" w:rsidRPr="00FA1ABE" w:rsidRDefault="00FA1ABE" w:rsidP="00FA1ABE">
      <w:pPr>
        <w:spacing w:line="276" w:lineRule="auto"/>
        <w:jc w:val="center"/>
        <w:rPr>
          <w:rFonts w:ascii="Arial" w:eastAsia="Dotum" w:hAnsi="Arial" w:cs="Arial"/>
          <w:b/>
          <w:sz w:val="24"/>
          <w:szCs w:val="24"/>
        </w:rPr>
      </w:pPr>
      <w:r w:rsidRPr="00FA1ABE">
        <w:rPr>
          <w:rFonts w:ascii="Arial" w:eastAsia="Dotum" w:hAnsi="Arial" w:cs="Arial"/>
          <w:b/>
          <w:sz w:val="24"/>
          <w:szCs w:val="24"/>
        </w:rPr>
        <w:t xml:space="preserve">D E C L A R </w:t>
      </w:r>
      <w:proofErr w:type="gramStart"/>
      <w:r w:rsidRPr="00FA1ABE">
        <w:rPr>
          <w:rFonts w:ascii="Arial" w:eastAsia="Dotum" w:hAnsi="Arial" w:cs="Arial"/>
          <w:b/>
          <w:sz w:val="24"/>
          <w:szCs w:val="24"/>
        </w:rPr>
        <w:t>A :</w:t>
      </w:r>
      <w:proofErr w:type="gramEnd"/>
    </w:p>
    <w:p w:rsidR="00FA1ABE" w:rsidRPr="00FA1ABE" w:rsidRDefault="00FA1ABE" w:rsidP="00FA1ABE">
      <w:pPr>
        <w:spacing w:line="276" w:lineRule="auto"/>
        <w:jc w:val="both"/>
        <w:rPr>
          <w:rFonts w:ascii="Arial" w:eastAsia="Dotum" w:hAnsi="Arial" w:cs="Arial"/>
          <w:sz w:val="24"/>
          <w:szCs w:val="24"/>
        </w:rPr>
      </w:pPr>
      <w:r w:rsidRPr="00FA1ABE">
        <w:rPr>
          <w:rFonts w:ascii="Arial" w:eastAsia="Dotum" w:hAnsi="Arial" w:cs="Arial"/>
          <w:b/>
          <w:sz w:val="24"/>
          <w:szCs w:val="24"/>
          <w:u w:val="single"/>
        </w:rPr>
        <w:t>PRIMERO</w:t>
      </w:r>
      <w:r w:rsidRPr="00FA1ABE">
        <w:rPr>
          <w:rFonts w:ascii="Arial" w:eastAsia="Dotum" w:hAnsi="Arial" w:cs="Arial"/>
          <w:sz w:val="24"/>
          <w:szCs w:val="24"/>
        </w:rPr>
        <w:t xml:space="preserve">: De Interés la Presentación del Libro </w:t>
      </w:r>
      <w:r w:rsidRPr="00FA1ABE">
        <w:rPr>
          <w:rFonts w:ascii="Arial" w:eastAsia="Dotum" w:hAnsi="Arial" w:cs="Arial"/>
          <w:b/>
          <w:sz w:val="24"/>
          <w:szCs w:val="24"/>
        </w:rPr>
        <w:t>“Crímenes Menores. Género y Poder Judicial, la trama de una disputa</w:t>
      </w:r>
      <w:r w:rsidRPr="00FA1ABE">
        <w:rPr>
          <w:rFonts w:ascii="Arial" w:eastAsia="Dotum" w:hAnsi="Arial" w:cs="Arial"/>
          <w:b/>
          <w:color w:val="000000"/>
          <w:sz w:val="24"/>
          <w:szCs w:val="24"/>
        </w:rPr>
        <w:t>”</w:t>
      </w:r>
      <w:r w:rsidRPr="00FA1ABE">
        <w:rPr>
          <w:rFonts w:ascii="Arial" w:eastAsia="Dotum" w:hAnsi="Arial" w:cs="Arial"/>
          <w:color w:val="000000"/>
          <w:sz w:val="24"/>
          <w:szCs w:val="24"/>
        </w:rPr>
        <w:t>, de la Lic. Sandra Viviana MIGUEZ, a llevarse a cabo el día viernes 07 de Junio del corriente año en la ciudad de Paraná.</w:t>
      </w:r>
    </w:p>
    <w:p w:rsidR="00FA1ABE" w:rsidRPr="00FA1ABE" w:rsidRDefault="00FA1ABE" w:rsidP="00FA1ABE">
      <w:pPr>
        <w:spacing w:line="276" w:lineRule="auto"/>
        <w:jc w:val="both"/>
        <w:rPr>
          <w:rFonts w:ascii="Arial" w:eastAsia="Dotum" w:hAnsi="Arial" w:cs="Arial"/>
          <w:color w:val="000000"/>
          <w:sz w:val="24"/>
          <w:szCs w:val="24"/>
        </w:rPr>
      </w:pPr>
      <w:r w:rsidRPr="00FA1ABE">
        <w:rPr>
          <w:rFonts w:ascii="Arial" w:eastAsia="Dotum" w:hAnsi="Arial" w:cs="Arial"/>
          <w:b/>
          <w:sz w:val="24"/>
          <w:szCs w:val="24"/>
          <w:u w:val="single"/>
        </w:rPr>
        <w:t>SEGUNDO</w:t>
      </w:r>
      <w:r w:rsidRPr="00FA1ABE">
        <w:rPr>
          <w:rFonts w:ascii="Arial" w:eastAsia="Dotum" w:hAnsi="Arial" w:cs="Arial"/>
          <w:sz w:val="24"/>
          <w:szCs w:val="24"/>
        </w:rPr>
        <w:t xml:space="preserve">: Comunicar a </w:t>
      </w:r>
      <w:r w:rsidRPr="00FA1ABE">
        <w:rPr>
          <w:rFonts w:ascii="Arial" w:eastAsia="Dotum" w:hAnsi="Arial" w:cs="Arial"/>
          <w:color w:val="000000"/>
          <w:sz w:val="24"/>
          <w:szCs w:val="24"/>
        </w:rPr>
        <w:t>la Lic. Sandra Viviana MIGUEZ y dar difusión a la presente.</w:t>
      </w:r>
    </w:p>
    <w:p w:rsidR="000D0415" w:rsidRPr="00FA1ABE" w:rsidRDefault="000D0415" w:rsidP="00FA1ABE">
      <w:pPr>
        <w:shd w:val="clear" w:color="auto" w:fill="FFFFFF"/>
        <w:spacing w:line="276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</w:p>
    <w:sectPr w:rsidR="000D0415" w:rsidRPr="00FA1ABE" w:rsidSect="00FA1ABE">
      <w:pgSz w:w="11906" w:h="16838" w:code="9"/>
      <w:pgMar w:top="3402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A31"/>
    <w:rsid w:val="000D0415"/>
    <w:rsid w:val="00353C7A"/>
    <w:rsid w:val="0037201B"/>
    <w:rsid w:val="003E64BD"/>
    <w:rsid w:val="00CC4A31"/>
    <w:rsid w:val="00D12BCC"/>
    <w:rsid w:val="00FA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C7D60-A304-4A70-AEC3-D4E888C4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4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3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A5D33-B6B3-4F77-B008-238D9FB22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1207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</dc:creator>
  <cp:keywords/>
  <dc:description/>
  <cp:lastModifiedBy>Senado</cp:lastModifiedBy>
  <cp:revision>2</cp:revision>
  <dcterms:created xsi:type="dcterms:W3CDTF">2019-06-25T21:36:00Z</dcterms:created>
  <dcterms:modified xsi:type="dcterms:W3CDTF">2019-06-25T21:36:00Z</dcterms:modified>
</cp:coreProperties>
</file>