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B7B" w:rsidRDefault="002D6B7B" w:rsidP="002D6B7B">
      <w:pPr>
        <w:jc w:val="both"/>
        <w:rPr>
          <w:b/>
          <w:i/>
        </w:rPr>
      </w:pPr>
      <w:bookmarkStart w:id="0" w:name="_GoBack"/>
      <w:bookmarkEnd w:id="0"/>
    </w:p>
    <w:p w:rsidR="008506F4" w:rsidRDefault="008506F4" w:rsidP="002D6B7B">
      <w:pPr>
        <w:jc w:val="both"/>
        <w:rPr>
          <w:b/>
          <w:i/>
        </w:rPr>
      </w:pPr>
    </w:p>
    <w:p w:rsidR="008506F4" w:rsidRDefault="008506F4" w:rsidP="002D6B7B">
      <w:pPr>
        <w:jc w:val="both"/>
        <w:rPr>
          <w:b/>
          <w:i/>
        </w:rPr>
      </w:pPr>
    </w:p>
    <w:p w:rsidR="008506F4" w:rsidRDefault="008506F4" w:rsidP="002D6B7B">
      <w:pPr>
        <w:jc w:val="both"/>
        <w:rPr>
          <w:b/>
          <w:i/>
        </w:rPr>
      </w:pPr>
    </w:p>
    <w:p w:rsidR="002D6B7B" w:rsidRDefault="002D6B7B" w:rsidP="002D6B7B">
      <w:pPr>
        <w:jc w:val="both"/>
      </w:pPr>
      <w:r>
        <w:rPr>
          <w:b/>
          <w:i/>
        </w:rPr>
        <w:t>FUNDAMENTOS</w:t>
      </w:r>
    </w:p>
    <w:p w:rsidR="002D6B7B" w:rsidRPr="005270FC" w:rsidRDefault="002D6B7B" w:rsidP="002D6B7B">
      <w:pPr>
        <w:ind w:firstLine="993"/>
        <w:jc w:val="both"/>
        <w:rPr>
          <w:rFonts w:ascii="Century Gothic" w:eastAsia="Calibri" w:hAnsi="Century Gothic" w:cs="Times New Roman"/>
        </w:rPr>
      </w:pPr>
      <w:r w:rsidRPr="005270FC">
        <w:rPr>
          <w:rFonts w:ascii="Century Gothic" w:eastAsia="Calibri" w:hAnsi="Century Gothic" w:cs="Times New Roman"/>
        </w:rPr>
        <w:t>Que la Provincia de Entre Ríos, por intermedio del Ministerio de Salud y la sanción de la Ley Provincial Nº 9799, de creación de los Comités Hospitalarios de Bioética, ha remarcado la importancia del control y asesoramiento en las decisiones a tomar dentro del campo de la práctica e investigación médica.</w:t>
      </w:r>
    </w:p>
    <w:p w:rsidR="002D6B7B" w:rsidRPr="005270FC" w:rsidRDefault="002D6B7B" w:rsidP="002D6B7B">
      <w:pPr>
        <w:ind w:firstLine="993"/>
        <w:jc w:val="both"/>
        <w:rPr>
          <w:rFonts w:ascii="Century Gothic" w:eastAsia="Calibri" w:hAnsi="Century Gothic" w:cs="Times New Roman"/>
        </w:rPr>
      </w:pPr>
      <w:r w:rsidRPr="005270FC">
        <w:rPr>
          <w:rFonts w:ascii="Century Gothic" w:eastAsia="Calibri" w:hAnsi="Century Gothic" w:cs="Times New Roman"/>
        </w:rPr>
        <w:t>Asimismo, el Ministerio de Salud por intermedio de la Resolución Nº 101/13 M.S. crea el Comité Central de Bioética en la práctica y en la investigación biomédica, organismo rector y superior respecto de los comités hospitalarios.</w:t>
      </w:r>
    </w:p>
    <w:p w:rsidR="002D6B7B" w:rsidRPr="005270FC" w:rsidRDefault="002D6B7B" w:rsidP="002D6B7B">
      <w:pPr>
        <w:ind w:firstLine="993"/>
        <w:jc w:val="both"/>
        <w:rPr>
          <w:rFonts w:ascii="Century Gothic" w:eastAsia="Calibri" w:hAnsi="Century Gothic" w:cs="Times New Roman"/>
        </w:rPr>
      </w:pPr>
      <w:r w:rsidRPr="005270FC">
        <w:rPr>
          <w:rFonts w:ascii="Century Gothic" w:eastAsia="Calibri" w:hAnsi="Century Gothic" w:cs="Times New Roman"/>
        </w:rPr>
        <w:t xml:space="preserve">Por ello, y con la intención de intensificar la dirección tomada en este campo, la presente ley pretende consolidar temporalmente el organismo creado mediante el dictado de la Resolución antes nombrada, transformando la decisión en una política de estado definida y a perdurar, independiente de las autoridades de turno. </w:t>
      </w:r>
    </w:p>
    <w:p w:rsidR="002D6B7B" w:rsidRPr="005270FC" w:rsidRDefault="002D6B7B" w:rsidP="002D6B7B">
      <w:pPr>
        <w:ind w:firstLine="993"/>
        <w:jc w:val="both"/>
        <w:rPr>
          <w:rFonts w:ascii="Century Gothic" w:eastAsia="Calibri" w:hAnsi="Century Gothic" w:cs="Times New Roman"/>
        </w:rPr>
      </w:pPr>
      <w:r w:rsidRPr="005270FC">
        <w:rPr>
          <w:rFonts w:ascii="Century Gothic" w:eastAsia="Calibri" w:hAnsi="Century Gothic" w:cs="Times New Roman"/>
        </w:rPr>
        <w:t>Así, resulta indispensable crear una entidad que nuclee a los COMITÉS HOSPITALARIOS DE BIOÉTICA (CHB) creados mediante LEY PROVINCIAL 9799 así como también los COMITES DE ÉTICA EN INVESTIGACIÓN, reglando sus procederes de manera genérica y definiendo posibles conflictos siguiendo los lineamientos de normas nacionales e internacionales vigentes en la materia.</w:t>
      </w:r>
    </w:p>
    <w:p w:rsidR="002D6B7B" w:rsidRPr="005270FC" w:rsidRDefault="002D6B7B" w:rsidP="002D6B7B">
      <w:pPr>
        <w:ind w:firstLine="993"/>
        <w:jc w:val="both"/>
        <w:rPr>
          <w:rFonts w:ascii="Century Gothic" w:eastAsia="Calibri" w:hAnsi="Century Gothic" w:cs="Times New Roman"/>
        </w:rPr>
      </w:pPr>
      <w:r w:rsidRPr="005270FC">
        <w:rPr>
          <w:rFonts w:ascii="Century Gothic" w:eastAsia="Calibri" w:hAnsi="Century Gothic" w:cs="Times New Roman"/>
        </w:rPr>
        <w:t>Que uno de los hechos que genera vulnerabilidad en la atención de la salud es la asimetría de poder existente paciente – equipo médico generando ello la pertinencia de la ética tanto en la práctica como en la investigación médica en resguardo de los derechos de las personas.</w:t>
      </w:r>
    </w:p>
    <w:p w:rsidR="002D6B7B" w:rsidRPr="005270FC" w:rsidRDefault="002D6B7B" w:rsidP="002D6B7B">
      <w:pPr>
        <w:ind w:firstLine="993"/>
        <w:jc w:val="both"/>
        <w:rPr>
          <w:rFonts w:ascii="Century Gothic" w:eastAsia="Calibri" w:hAnsi="Century Gothic" w:cs="Times New Roman"/>
        </w:rPr>
      </w:pPr>
      <w:r w:rsidRPr="005270FC">
        <w:rPr>
          <w:rFonts w:ascii="Century Gothic" w:eastAsia="Calibri" w:hAnsi="Century Gothic" w:cs="Times New Roman"/>
        </w:rPr>
        <w:t>Que reviste suma importancia el fomento y control de actividades de investigación en el área de salud pública, puesto que todo conocimiento proveniente de ella deviene imprescindible para planificar, guiar y reconducir, políticas, programas y servicios aplicables a la gestión sanitaria provincial.</w:t>
      </w:r>
    </w:p>
    <w:p w:rsidR="002D6B7B" w:rsidRDefault="002D6B7B" w:rsidP="002D6B7B">
      <w:pPr>
        <w:ind w:firstLine="993"/>
        <w:jc w:val="both"/>
        <w:rPr>
          <w:rFonts w:ascii="Century Gothic" w:hAnsi="Century Gothic"/>
        </w:rPr>
      </w:pPr>
      <w:r w:rsidRPr="005270FC">
        <w:rPr>
          <w:rFonts w:ascii="Century Gothic" w:eastAsia="Calibri" w:hAnsi="Century Gothic" w:cs="Times New Roman"/>
        </w:rPr>
        <w:t xml:space="preserve">Que en el campo de la práctica médica, como en el de la investigación en salud se encuentran </w:t>
      </w:r>
      <w:r>
        <w:rPr>
          <w:rFonts w:ascii="Century Gothic" w:hAnsi="Century Gothic"/>
        </w:rPr>
        <w:t xml:space="preserve"> </w:t>
      </w:r>
      <w:r w:rsidRPr="005270FC">
        <w:rPr>
          <w:rFonts w:ascii="Century Gothic" w:eastAsia="Calibri" w:hAnsi="Century Gothic" w:cs="Times New Roman"/>
        </w:rPr>
        <w:t xml:space="preserve">implicados </w:t>
      </w:r>
      <w:r>
        <w:rPr>
          <w:rFonts w:ascii="Century Gothic" w:hAnsi="Century Gothic"/>
        </w:rPr>
        <w:t xml:space="preserve"> </w:t>
      </w:r>
      <w:r w:rsidRPr="005270FC">
        <w:rPr>
          <w:rFonts w:ascii="Century Gothic" w:eastAsia="Calibri" w:hAnsi="Century Gothic" w:cs="Times New Roman"/>
        </w:rPr>
        <w:t>diversos</w:t>
      </w:r>
      <w:r>
        <w:rPr>
          <w:rFonts w:ascii="Century Gothic" w:hAnsi="Century Gothic"/>
        </w:rPr>
        <w:t xml:space="preserve"> </w:t>
      </w:r>
      <w:r w:rsidRPr="005270FC">
        <w:rPr>
          <w:rFonts w:ascii="Century Gothic" w:eastAsia="Calibri" w:hAnsi="Century Gothic" w:cs="Times New Roman"/>
        </w:rPr>
        <w:t xml:space="preserve"> factores, no </w:t>
      </w:r>
      <w:r>
        <w:rPr>
          <w:rFonts w:ascii="Century Gothic" w:hAnsi="Century Gothic"/>
        </w:rPr>
        <w:t xml:space="preserve"> </w:t>
      </w:r>
      <w:r w:rsidRPr="005270FC">
        <w:rPr>
          <w:rFonts w:ascii="Century Gothic" w:eastAsia="Calibri" w:hAnsi="Century Gothic" w:cs="Times New Roman"/>
        </w:rPr>
        <w:t xml:space="preserve">solo médicos </w:t>
      </w:r>
      <w:r>
        <w:rPr>
          <w:rFonts w:ascii="Century Gothic" w:hAnsi="Century Gothic"/>
        </w:rPr>
        <w:t xml:space="preserve">             </w:t>
      </w:r>
      <w:r w:rsidRPr="005270FC">
        <w:rPr>
          <w:rFonts w:ascii="Century Gothic" w:eastAsia="Calibri" w:hAnsi="Century Gothic" w:cs="Times New Roman"/>
        </w:rPr>
        <w:t xml:space="preserve">sino también </w:t>
      </w:r>
      <w:r>
        <w:rPr>
          <w:rFonts w:ascii="Century Gothic" w:hAnsi="Century Gothic"/>
        </w:rPr>
        <w:t xml:space="preserve"> </w:t>
      </w:r>
      <w:r w:rsidRPr="005270FC">
        <w:rPr>
          <w:rFonts w:ascii="Century Gothic" w:eastAsia="Calibri" w:hAnsi="Century Gothic" w:cs="Times New Roman"/>
        </w:rPr>
        <w:t xml:space="preserve">sociales </w:t>
      </w:r>
      <w:r>
        <w:rPr>
          <w:rFonts w:ascii="Century Gothic" w:hAnsi="Century Gothic"/>
        </w:rPr>
        <w:t xml:space="preserve"> </w:t>
      </w:r>
      <w:r w:rsidRPr="005270FC">
        <w:rPr>
          <w:rFonts w:ascii="Century Gothic" w:eastAsia="Calibri" w:hAnsi="Century Gothic" w:cs="Times New Roman"/>
        </w:rPr>
        <w:t>y</w:t>
      </w:r>
      <w:r>
        <w:rPr>
          <w:rFonts w:ascii="Century Gothic" w:hAnsi="Century Gothic"/>
        </w:rPr>
        <w:t xml:space="preserve"> </w:t>
      </w:r>
      <w:r w:rsidRPr="005270FC">
        <w:rPr>
          <w:rFonts w:ascii="Century Gothic" w:eastAsia="Calibri" w:hAnsi="Century Gothic" w:cs="Times New Roman"/>
        </w:rPr>
        <w:t xml:space="preserve"> jurídicos, </w:t>
      </w:r>
      <w:r>
        <w:rPr>
          <w:rFonts w:ascii="Century Gothic" w:hAnsi="Century Gothic"/>
        </w:rPr>
        <w:t xml:space="preserve"> </w:t>
      </w:r>
      <w:r w:rsidRPr="005270FC">
        <w:rPr>
          <w:rFonts w:ascii="Century Gothic" w:eastAsia="Calibri" w:hAnsi="Century Gothic" w:cs="Times New Roman"/>
        </w:rPr>
        <w:t xml:space="preserve">los </w:t>
      </w:r>
      <w:r>
        <w:rPr>
          <w:rFonts w:ascii="Century Gothic" w:hAnsi="Century Gothic"/>
        </w:rPr>
        <w:t xml:space="preserve">  </w:t>
      </w:r>
      <w:r w:rsidRPr="005270FC">
        <w:rPr>
          <w:rFonts w:ascii="Century Gothic" w:eastAsia="Calibri" w:hAnsi="Century Gothic" w:cs="Times New Roman"/>
        </w:rPr>
        <w:t>cuales</w:t>
      </w:r>
      <w:r>
        <w:rPr>
          <w:rFonts w:ascii="Century Gothic" w:hAnsi="Century Gothic"/>
        </w:rPr>
        <w:t xml:space="preserve"> </w:t>
      </w:r>
      <w:r w:rsidRPr="005270FC">
        <w:rPr>
          <w:rFonts w:ascii="Century Gothic" w:eastAsia="Calibri" w:hAnsi="Century Gothic" w:cs="Times New Roman"/>
        </w:rPr>
        <w:t xml:space="preserve"> deben </w:t>
      </w:r>
      <w:r>
        <w:rPr>
          <w:rFonts w:ascii="Century Gothic" w:hAnsi="Century Gothic"/>
        </w:rPr>
        <w:t xml:space="preserve"> </w:t>
      </w:r>
      <w:r w:rsidRPr="005270FC">
        <w:rPr>
          <w:rFonts w:ascii="Century Gothic" w:eastAsia="Calibri" w:hAnsi="Century Gothic" w:cs="Times New Roman"/>
        </w:rPr>
        <w:t xml:space="preserve">ser </w:t>
      </w:r>
      <w:r>
        <w:rPr>
          <w:rFonts w:ascii="Century Gothic" w:hAnsi="Century Gothic"/>
        </w:rPr>
        <w:t xml:space="preserve"> </w:t>
      </w:r>
      <w:r w:rsidRPr="005270FC">
        <w:rPr>
          <w:rFonts w:ascii="Century Gothic" w:eastAsia="Calibri" w:hAnsi="Century Gothic" w:cs="Times New Roman"/>
        </w:rPr>
        <w:t xml:space="preserve">atendidos </w:t>
      </w:r>
      <w:r>
        <w:rPr>
          <w:rFonts w:ascii="Century Gothic" w:hAnsi="Century Gothic"/>
        </w:rPr>
        <w:t xml:space="preserve"> </w:t>
      </w:r>
      <w:r w:rsidRPr="005270FC">
        <w:rPr>
          <w:rFonts w:ascii="Century Gothic" w:eastAsia="Calibri" w:hAnsi="Century Gothic" w:cs="Times New Roman"/>
        </w:rPr>
        <w:t xml:space="preserve">de </w:t>
      </w:r>
      <w:r>
        <w:rPr>
          <w:rFonts w:ascii="Century Gothic" w:hAnsi="Century Gothic"/>
        </w:rPr>
        <w:t xml:space="preserve">  </w:t>
      </w:r>
      <w:r w:rsidRPr="005270FC">
        <w:rPr>
          <w:rFonts w:ascii="Century Gothic" w:eastAsia="Calibri" w:hAnsi="Century Gothic" w:cs="Times New Roman"/>
        </w:rPr>
        <w:t xml:space="preserve">manera </w:t>
      </w:r>
    </w:p>
    <w:p w:rsidR="002D6B7B" w:rsidRDefault="002D6B7B" w:rsidP="002D6B7B">
      <w:pPr>
        <w:ind w:firstLine="993"/>
        <w:jc w:val="both"/>
        <w:rPr>
          <w:rFonts w:ascii="Century Gothic" w:hAnsi="Century Gothic"/>
        </w:rPr>
      </w:pPr>
    </w:p>
    <w:p w:rsidR="002D6B7B" w:rsidRDefault="002D6B7B" w:rsidP="002D6B7B">
      <w:pPr>
        <w:ind w:firstLine="993"/>
        <w:jc w:val="both"/>
        <w:rPr>
          <w:rFonts w:ascii="Century Gothic" w:hAnsi="Century Gothic"/>
        </w:rPr>
      </w:pPr>
    </w:p>
    <w:p w:rsidR="002D6B7B" w:rsidRDefault="002D6B7B" w:rsidP="002D6B7B">
      <w:pPr>
        <w:ind w:firstLine="993"/>
        <w:jc w:val="both"/>
        <w:rPr>
          <w:rFonts w:ascii="Century Gothic" w:hAnsi="Century Gothic"/>
        </w:rPr>
      </w:pPr>
    </w:p>
    <w:p w:rsidR="002D6B7B" w:rsidRDefault="002D6B7B" w:rsidP="002D6B7B">
      <w:pPr>
        <w:jc w:val="both"/>
        <w:rPr>
          <w:rFonts w:ascii="Century Gothic" w:hAnsi="Century Gothic"/>
        </w:rPr>
      </w:pPr>
    </w:p>
    <w:p w:rsidR="002D6B7B" w:rsidRDefault="002D6B7B" w:rsidP="002D6B7B">
      <w:pPr>
        <w:jc w:val="both"/>
        <w:rPr>
          <w:rFonts w:ascii="Century Gothic" w:hAnsi="Century Gothic"/>
        </w:rPr>
      </w:pPr>
    </w:p>
    <w:p w:rsidR="002D6B7B" w:rsidRPr="005270FC" w:rsidRDefault="002D6B7B" w:rsidP="002D6B7B">
      <w:pPr>
        <w:jc w:val="both"/>
        <w:rPr>
          <w:rFonts w:ascii="Century Gothic" w:eastAsia="Calibri" w:hAnsi="Century Gothic" w:cs="Times New Roman"/>
        </w:rPr>
      </w:pPr>
      <w:proofErr w:type="gramStart"/>
      <w:r w:rsidRPr="005270FC">
        <w:rPr>
          <w:rFonts w:ascii="Century Gothic" w:eastAsia="Calibri" w:hAnsi="Century Gothic" w:cs="Times New Roman"/>
        </w:rPr>
        <w:t>complementaria</w:t>
      </w:r>
      <w:proofErr w:type="gramEnd"/>
      <w:r w:rsidRPr="005270FC">
        <w:rPr>
          <w:rFonts w:ascii="Century Gothic" w:eastAsia="Calibri" w:hAnsi="Century Gothic" w:cs="Times New Roman"/>
        </w:rPr>
        <w:t xml:space="preserve"> a fin de lograr respuestas acertadas y realizables frente a las necesidades de la comunidad.</w:t>
      </w:r>
    </w:p>
    <w:p w:rsidR="002D6B7B" w:rsidRPr="005270FC" w:rsidRDefault="002D6B7B" w:rsidP="002D6B7B">
      <w:pPr>
        <w:ind w:firstLine="993"/>
        <w:jc w:val="both"/>
        <w:rPr>
          <w:rFonts w:ascii="Century Gothic" w:eastAsia="Calibri" w:hAnsi="Century Gothic" w:cs="Times New Roman"/>
        </w:rPr>
      </w:pPr>
      <w:r w:rsidRPr="005270FC">
        <w:rPr>
          <w:rFonts w:ascii="Century Gothic" w:eastAsia="Calibri" w:hAnsi="Century Gothic" w:cs="Times New Roman"/>
        </w:rPr>
        <w:t xml:space="preserve">Que la mera existencia de normativas regulatorias de la investigación biomédica no garantiza la protección real de los sujetos, la protección efectiva depende del cumplimiento concreto de esas normas, de la evaluación y supervisión ética de los protocolos de investigación y de la conducción concienzuda de los mismos, acciones que dependen necesariamente de la mano ejecutora pública. </w:t>
      </w:r>
    </w:p>
    <w:p w:rsidR="002D6B7B" w:rsidRPr="005270FC" w:rsidRDefault="002D6B7B" w:rsidP="002D6B7B">
      <w:pPr>
        <w:ind w:firstLine="993"/>
        <w:jc w:val="both"/>
        <w:rPr>
          <w:rFonts w:ascii="Century Gothic" w:eastAsia="Calibri" w:hAnsi="Century Gothic" w:cs="Times New Roman"/>
        </w:rPr>
      </w:pPr>
      <w:r w:rsidRPr="005270FC">
        <w:rPr>
          <w:rFonts w:ascii="Century Gothic" w:eastAsia="Calibri" w:hAnsi="Century Gothic" w:cs="Times New Roman"/>
        </w:rPr>
        <w:t>Que en consecuencia resulta necesario darle jerarquía a las acciones de bioética en la práctica médica y la investigación en salud, estableciendo un Comité Central de Bioética, en la práctica y en la investigación médica de la Provincia de Entre Ríos.</w:t>
      </w:r>
    </w:p>
    <w:p w:rsidR="002D6B7B" w:rsidRPr="00A34F70" w:rsidRDefault="002D6B7B" w:rsidP="002D6B7B">
      <w:pPr>
        <w:ind w:firstLine="993"/>
        <w:jc w:val="both"/>
        <w:rPr>
          <w:rFonts w:ascii="Century Gothic" w:hAnsi="Century Gothic"/>
        </w:rPr>
      </w:pPr>
    </w:p>
    <w:p w:rsidR="002D6B7B" w:rsidRDefault="002D6B7B" w:rsidP="002D6B7B">
      <w:pPr>
        <w:jc w:val="both"/>
        <w:rPr>
          <w:b/>
        </w:rPr>
      </w:pPr>
      <w:r>
        <w:rPr>
          <w:b/>
        </w:rPr>
        <w:t xml:space="preserve">              </w:t>
      </w:r>
    </w:p>
    <w:p w:rsidR="002D6B7B" w:rsidRDefault="002D6B7B" w:rsidP="002D6B7B">
      <w:pPr>
        <w:jc w:val="both"/>
        <w:rPr>
          <w:b/>
        </w:rPr>
      </w:pPr>
    </w:p>
    <w:p w:rsidR="002D6B7B" w:rsidRDefault="002D6B7B" w:rsidP="002D6B7B">
      <w:pPr>
        <w:jc w:val="both"/>
        <w:rPr>
          <w:b/>
        </w:rPr>
      </w:pPr>
    </w:p>
    <w:p w:rsidR="002D6B7B" w:rsidRDefault="002D6B7B" w:rsidP="002D6B7B">
      <w:pPr>
        <w:jc w:val="both"/>
        <w:rPr>
          <w:b/>
        </w:rPr>
      </w:pPr>
    </w:p>
    <w:p w:rsidR="002D6B7B" w:rsidRDefault="002D6B7B" w:rsidP="002D6B7B">
      <w:pPr>
        <w:jc w:val="both"/>
        <w:rPr>
          <w:b/>
        </w:rPr>
      </w:pPr>
    </w:p>
    <w:p w:rsidR="002D6B7B" w:rsidRDefault="002D6B7B" w:rsidP="002D6B7B">
      <w:pPr>
        <w:jc w:val="both"/>
        <w:rPr>
          <w:b/>
        </w:rPr>
      </w:pPr>
    </w:p>
    <w:p w:rsidR="002D6B7B" w:rsidRDefault="002D6B7B" w:rsidP="002D6B7B">
      <w:pPr>
        <w:jc w:val="both"/>
        <w:rPr>
          <w:b/>
        </w:rPr>
      </w:pPr>
    </w:p>
    <w:p w:rsidR="002D6B7B" w:rsidRDefault="002D6B7B" w:rsidP="002D6B7B">
      <w:pPr>
        <w:jc w:val="both"/>
        <w:rPr>
          <w:b/>
        </w:rPr>
      </w:pPr>
    </w:p>
    <w:p w:rsidR="002D6B7B" w:rsidRDefault="002D6B7B" w:rsidP="002D6B7B">
      <w:pPr>
        <w:jc w:val="both"/>
        <w:rPr>
          <w:b/>
        </w:rPr>
      </w:pPr>
    </w:p>
    <w:p w:rsidR="002D6B7B" w:rsidRDefault="002D6B7B" w:rsidP="002D6B7B">
      <w:pPr>
        <w:jc w:val="both"/>
        <w:rPr>
          <w:b/>
        </w:rPr>
      </w:pPr>
    </w:p>
    <w:p w:rsidR="002D6B7B" w:rsidRDefault="002D6B7B" w:rsidP="002D6B7B">
      <w:pPr>
        <w:jc w:val="both"/>
        <w:rPr>
          <w:b/>
        </w:rPr>
      </w:pPr>
    </w:p>
    <w:p w:rsidR="002D6B7B" w:rsidRDefault="002D6B7B" w:rsidP="002D6B7B">
      <w:pPr>
        <w:jc w:val="both"/>
        <w:rPr>
          <w:b/>
        </w:rPr>
      </w:pPr>
    </w:p>
    <w:p w:rsidR="002D6B7B" w:rsidRDefault="002D6B7B" w:rsidP="002D6B7B">
      <w:pPr>
        <w:jc w:val="both"/>
        <w:rPr>
          <w:b/>
        </w:rPr>
      </w:pPr>
    </w:p>
    <w:p w:rsidR="002D6B7B" w:rsidRDefault="002D6B7B" w:rsidP="002D6B7B">
      <w:pPr>
        <w:jc w:val="both"/>
        <w:rPr>
          <w:b/>
        </w:rPr>
      </w:pPr>
    </w:p>
    <w:p w:rsidR="002D6B7B" w:rsidRDefault="002D6B7B" w:rsidP="002D6B7B">
      <w:pPr>
        <w:jc w:val="both"/>
        <w:rPr>
          <w:b/>
        </w:rPr>
      </w:pPr>
    </w:p>
    <w:p w:rsidR="002D6B7B" w:rsidRDefault="002D6B7B" w:rsidP="002D6B7B">
      <w:pPr>
        <w:jc w:val="both"/>
        <w:rPr>
          <w:b/>
        </w:rPr>
      </w:pPr>
    </w:p>
    <w:p w:rsidR="002D6B7B" w:rsidRDefault="002D6B7B" w:rsidP="002D6B7B">
      <w:pPr>
        <w:jc w:val="both"/>
        <w:rPr>
          <w:b/>
        </w:rPr>
      </w:pPr>
    </w:p>
    <w:p w:rsidR="002D6B7B" w:rsidRDefault="002D6B7B" w:rsidP="002D6B7B">
      <w:pPr>
        <w:jc w:val="both"/>
        <w:rPr>
          <w:b/>
        </w:rPr>
      </w:pPr>
      <w:r>
        <w:rPr>
          <w:b/>
        </w:rPr>
        <w:t>LA LEGISLATURA DE LA PROVINCIA DE ENTRE RÍOS</w:t>
      </w:r>
    </w:p>
    <w:p w:rsidR="002D6B7B" w:rsidRDefault="002D6B7B" w:rsidP="002D6B7B">
      <w:pPr>
        <w:jc w:val="both"/>
        <w:rPr>
          <w:b/>
        </w:rPr>
      </w:pPr>
      <w:r>
        <w:rPr>
          <w:b/>
        </w:rPr>
        <w:t>SANCIONA CON FUERZA</w:t>
      </w:r>
    </w:p>
    <w:p w:rsidR="002D6B7B" w:rsidRDefault="002D6B7B" w:rsidP="002D6B7B">
      <w:pPr>
        <w:jc w:val="both"/>
        <w:rPr>
          <w:b/>
        </w:rPr>
      </w:pPr>
      <w:r>
        <w:rPr>
          <w:b/>
        </w:rPr>
        <w:t>DE LEY:</w:t>
      </w:r>
    </w:p>
    <w:p w:rsidR="002D6B7B" w:rsidRPr="00AE5AC7" w:rsidRDefault="002D6B7B" w:rsidP="002D6B7B">
      <w:pPr>
        <w:jc w:val="center"/>
        <w:rPr>
          <w:rFonts w:ascii="Century Gothic" w:eastAsia="Calibri" w:hAnsi="Century Gothic" w:cs="Times New Roman"/>
          <w:b/>
          <w:u w:val="single"/>
        </w:rPr>
      </w:pPr>
      <w:r w:rsidRPr="00AE5AC7">
        <w:rPr>
          <w:rFonts w:ascii="Century Gothic" w:eastAsia="Calibri" w:hAnsi="Century Gothic" w:cs="Times New Roman"/>
          <w:b/>
          <w:u w:val="single"/>
        </w:rPr>
        <w:t>CREACIÓN DE COMITÉ DE CENTRAL DE BIOÉTICA EN LA PRÁCTICA Y LA INVESTIGACIÓN BIOMÉDICA DEPENDIENTE DEL MINISTERIO DE SALUD</w:t>
      </w:r>
    </w:p>
    <w:p w:rsidR="002D6B7B" w:rsidRPr="001A3DBA" w:rsidRDefault="002D6B7B" w:rsidP="002D6B7B">
      <w:pPr>
        <w:jc w:val="both"/>
        <w:rPr>
          <w:rFonts w:ascii="Century Gothic" w:eastAsia="Calibri" w:hAnsi="Century Gothic" w:cs="Times New Roman"/>
        </w:rPr>
      </w:pPr>
      <w:r w:rsidRPr="001A3DBA">
        <w:rPr>
          <w:rFonts w:ascii="Century Gothic" w:eastAsia="Calibri" w:hAnsi="Century Gothic" w:cs="Times New Roman"/>
          <w:b/>
          <w:u w:val="single"/>
        </w:rPr>
        <w:t>Artículo 1º.-</w:t>
      </w:r>
      <w:r w:rsidRPr="001A3DBA">
        <w:rPr>
          <w:rFonts w:ascii="Century Gothic" w:eastAsia="Calibri" w:hAnsi="Century Gothic" w:cs="Times New Roman"/>
        </w:rPr>
        <w:t xml:space="preserve"> Crear el Comité Central de Bioética para la práctica y la investigación biomédica, dependiente de la DIRECCIÓN DE CIENCIA Y TECNOLOGÍA del  MINISTERIO DE SALUD DE ENTRE RÍOS el que estará conformado por profesionales y no profesionales en diversas materias a fin de abordar interdisciplinariamente las problemáticas que surjan en la praxis médica y en las investigaciones biomédicas</w:t>
      </w:r>
    </w:p>
    <w:p w:rsidR="002D6B7B" w:rsidRPr="001A3DBA" w:rsidRDefault="002D6B7B" w:rsidP="002D6B7B">
      <w:pPr>
        <w:jc w:val="both"/>
        <w:rPr>
          <w:rFonts w:ascii="Century Gothic" w:eastAsia="Calibri" w:hAnsi="Century Gothic" w:cs="Times New Roman"/>
        </w:rPr>
      </w:pPr>
      <w:r w:rsidRPr="001A3DBA">
        <w:rPr>
          <w:rFonts w:ascii="Century Gothic" w:eastAsia="Calibri" w:hAnsi="Century Gothic" w:cs="Times New Roman"/>
          <w:b/>
          <w:u w:val="single"/>
        </w:rPr>
        <w:t>Articulo 2º.-</w:t>
      </w:r>
      <w:r w:rsidRPr="001A3DBA">
        <w:rPr>
          <w:rFonts w:ascii="Century Gothic" w:eastAsia="Calibri" w:hAnsi="Century Gothic" w:cs="Times New Roman"/>
        </w:rPr>
        <w:t xml:space="preserve"> Establecer como fin rector del Comité Central de Bioética en la práctica y en la investigación biomédica, velar por el respeto de los fundamentos y principios de la ética y de los derechos humanos, tanto en las prácticas de salud como en el desenvolvimiento de las investigaciones en salud humana desarrolladas y a desarrollarse en territorio entrerriano. </w:t>
      </w:r>
    </w:p>
    <w:p w:rsidR="002D6B7B" w:rsidRDefault="002D6B7B" w:rsidP="002D6B7B">
      <w:pPr>
        <w:jc w:val="both"/>
        <w:rPr>
          <w:rFonts w:ascii="Century Gothic" w:hAnsi="Century Gothic"/>
        </w:rPr>
      </w:pPr>
      <w:r w:rsidRPr="001A3DBA">
        <w:rPr>
          <w:rFonts w:ascii="Century Gothic" w:eastAsia="Calibri" w:hAnsi="Century Gothic" w:cs="Times New Roman"/>
          <w:b/>
          <w:u w:val="single"/>
        </w:rPr>
        <w:t>Articulo 3º.-</w:t>
      </w:r>
      <w:r w:rsidRPr="001A3DBA">
        <w:rPr>
          <w:rFonts w:ascii="Century Gothic" w:eastAsia="Calibri" w:hAnsi="Century Gothic" w:cs="Times New Roman"/>
        </w:rPr>
        <w:t xml:space="preserve"> Disponer que el Comité Central de Bioética en la práctica y en la investigación biomédica estará integrado por miembros designados por el Ministerio de Salud, los que deberán ser profesionales de la salud reconocidos en su campo, con interés en la bioética, personas con formación en ciencias biológicas, especialistas en ciencias sociales y del comportamiento, público lego, representantes de diferentes cultos y/o universidades de los cuales surgirá un presidente, un vicepresidente, un secretario y vocales. Dichos profesionales deberán contar con destacada trayectoria, con idoneidad en su especialidad y de intachable recorrido profesional, sin observaciones éticas en su desempeño profesional, tanto en el ámbito público como privado, no podrán tener participación alguna en empresas privadas vinculadas al rubro, a fin de evitar colisión de intereses. Además el Comité Central de Bioética podrá contar con consultores en casos particulares, los cuales pueden ser miembros de hospitales de la Provincia y miembros de los Comités de Bioética o ética en Investigación  de </w:t>
      </w:r>
    </w:p>
    <w:p w:rsidR="002D6B7B" w:rsidRDefault="002D6B7B" w:rsidP="002D6B7B">
      <w:pPr>
        <w:jc w:val="both"/>
        <w:rPr>
          <w:rFonts w:ascii="Century Gothic" w:hAnsi="Century Gothic"/>
        </w:rPr>
      </w:pPr>
    </w:p>
    <w:p w:rsidR="002D6B7B" w:rsidRDefault="002D6B7B" w:rsidP="002D6B7B">
      <w:pPr>
        <w:jc w:val="both"/>
        <w:rPr>
          <w:rFonts w:ascii="Century Gothic" w:hAnsi="Century Gothic"/>
        </w:rPr>
      </w:pPr>
    </w:p>
    <w:p w:rsidR="002D6B7B" w:rsidRDefault="002D6B7B" w:rsidP="002D6B7B">
      <w:pPr>
        <w:jc w:val="both"/>
        <w:rPr>
          <w:rFonts w:ascii="Century Gothic" w:hAnsi="Century Gothic"/>
        </w:rPr>
      </w:pPr>
    </w:p>
    <w:p w:rsidR="002D6B7B" w:rsidRDefault="002D6B7B" w:rsidP="002D6B7B">
      <w:pPr>
        <w:jc w:val="both"/>
        <w:rPr>
          <w:rFonts w:ascii="Century Gothic" w:hAnsi="Century Gothic"/>
        </w:rPr>
      </w:pPr>
    </w:p>
    <w:p w:rsidR="002D6B7B" w:rsidRDefault="002D6B7B" w:rsidP="002D6B7B">
      <w:pPr>
        <w:jc w:val="both"/>
        <w:rPr>
          <w:rFonts w:ascii="Century Gothic" w:hAnsi="Century Gothic"/>
        </w:rPr>
      </w:pPr>
    </w:p>
    <w:p w:rsidR="002D6B7B" w:rsidRPr="001A3DBA" w:rsidRDefault="002D6B7B" w:rsidP="002D6B7B">
      <w:pPr>
        <w:jc w:val="both"/>
        <w:rPr>
          <w:rFonts w:ascii="Century Gothic" w:eastAsia="Calibri" w:hAnsi="Century Gothic" w:cs="Times New Roman"/>
        </w:rPr>
      </w:pPr>
      <w:proofErr w:type="gramStart"/>
      <w:r w:rsidRPr="001A3DBA">
        <w:rPr>
          <w:rFonts w:ascii="Century Gothic" w:eastAsia="Calibri" w:hAnsi="Century Gothic" w:cs="Times New Roman"/>
        </w:rPr>
        <w:t>los</w:t>
      </w:r>
      <w:proofErr w:type="gramEnd"/>
      <w:r w:rsidRPr="001A3DBA">
        <w:rPr>
          <w:rFonts w:ascii="Century Gothic" w:eastAsia="Calibri" w:hAnsi="Century Gothic" w:cs="Times New Roman"/>
        </w:rPr>
        <w:t xml:space="preserve"> Hospitales  de referencia en la Provincia o personas que por su formación profesional en Bioética se consideren necesarias en las actividades de este Comité.</w:t>
      </w:r>
    </w:p>
    <w:p w:rsidR="002D6B7B" w:rsidRPr="001A3DBA" w:rsidRDefault="002D6B7B" w:rsidP="002D6B7B">
      <w:pPr>
        <w:jc w:val="both"/>
        <w:rPr>
          <w:rFonts w:ascii="Century Gothic" w:eastAsia="Calibri" w:hAnsi="Century Gothic" w:cs="Times New Roman"/>
        </w:rPr>
      </w:pPr>
      <w:r w:rsidRPr="001A3DBA">
        <w:rPr>
          <w:rFonts w:ascii="Century Gothic" w:eastAsia="Calibri" w:hAnsi="Century Gothic" w:cs="Times New Roman"/>
          <w:b/>
          <w:u w:val="single"/>
        </w:rPr>
        <w:t>Artículo 4º.-</w:t>
      </w:r>
      <w:r w:rsidRPr="001A3DBA">
        <w:rPr>
          <w:rFonts w:ascii="Century Gothic" w:eastAsia="Calibri" w:hAnsi="Century Gothic" w:cs="Times New Roman"/>
        </w:rPr>
        <w:t xml:space="preserve"> Determinar que una vez conformado el Comité Central de Bioética para la práctica y la investigación biomédica, este dictará su reglamento interno definiendo aspectos operativos, periodicidad de reuniones, régimen de toma de decisiones, reemplazos, remociones, expulsiones de sus miembros y manual de procedimiento del mismo respecto al contralor de los Comités de Ética. </w:t>
      </w:r>
    </w:p>
    <w:p w:rsidR="002D6B7B" w:rsidRPr="001A3DBA" w:rsidRDefault="002D6B7B" w:rsidP="002D6B7B">
      <w:pPr>
        <w:jc w:val="both"/>
        <w:rPr>
          <w:rFonts w:ascii="Century Gothic" w:eastAsia="Calibri" w:hAnsi="Century Gothic" w:cs="Times New Roman"/>
        </w:rPr>
      </w:pPr>
      <w:r w:rsidRPr="001A3DBA">
        <w:rPr>
          <w:rFonts w:ascii="Century Gothic" w:eastAsia="Calibri" w:hAnsi="Century Gothic" w:cs="Times New Roman"/>
          <w:b/>
          <w:u w:val="single"/>
        </w:rPr>
        <w:t>Artículo 5º.-</w:t>
      </w:r>
      <w:r w:rsidRPr="001A3DBA">
        <w:rPr>
          <w:rFonts w:ascii="Century Gothic" w:eastAsia="Calibri" w:hAnsi="Century Gothic" w:cs="Times New Roman"/>
        </w:rPr>
        <w:t xml:space="preserve"> Fijar las funciones que tendrá el Comité Central de Bioética en la práctica y en la investigación biomédica, a saber:</w:t>
      </w:r>
    </w:p>
    <w:p w:rsidR="002D6B7B" w:rsidRPr="001A3DBA" w:rsidRDefault="002D6B7B" w:rsidP="002D6B7B">
      <w:pPr>
        <w:pStyle w:val="Prrafodelista"/>
        <w:numPr>
          <w:ilvl w:val="0"/>
          <w:numId w:val="1"/>
        </w:numPr>
        <w:suppressAutoHyphens/>
        <w:contextualSpacing w:val="0"/>
        <w:jc w:val="both"/>
        <w:rPr>
          <w:rFonts w:ascii="Century Gothic" w:eastAsia="Calibri" w:hAnsi="Century Gothic" w:cs="Times New Roman"/>
        </w:rPr>
      </w:pPr>
      <w:r w:rsidRPr="001A3DBA">
        <w:rPr>
          <w:rFonts w:ascii="Century Gothic" w:eastAsia="Calibri" w:hAnsi="Century Gothic" w:cs="Times New Roman"/>
        </w:rPr>
        <w:t xml:space="preserve">Reglar y fiscalizar las actividades que lleven adelante los comités de ética formados y a formarse en la provincia, siempre dentro de los márgenes establecidos por la Resolución Nº 1480/11 del MINISTERIO DE SALUD DE LA NACIÓN –GUÍA PARA INVESTIGACIONES CON SERES HUMANOS-  y por el marco normativo internacional (Código de </w:t>
      </w:r>
      <w:proofErr w:type="spellStart"/>
      <w:r w:rsidRPr="001A3DBA">
        <w:rPr>
          <w:rFonts w:ascii="Century Gothic" w:eastAsia="Calibri" w:hAnsi="Century Gothic" w:cs="Times New Roman"/>
        </w:rPr>
        <w:t>Nüremberg</w:t>
      </w:r>
      <w:proofErr w:type="spellEnd"/>
      <w:r w:rsidRPr="001A3DBA">
        <w:rPr>
          <w:rFonts w:ascii="Century Gothic" w:eastAsia="Calibri" w:hAnsi="Century Gothic" w:cs="Times New Roman"/>
        </w:rPr>
        <w:t xml:space="preserve">, Declaración de Helsinki, Declaración Universal sobre Bioética y Derechos Humanos –UNESCO 2005-, Documento de las Américas sobre buenas prácticas clínicas (OMS- OPS 2005), o de aquellas normas que en el futuro se dicten o las reemplacen. </w:t>
      </w:r>
    </w:p>
    <w:p w:rsidR="002D6B7B" w:rsidRPr="001A3DBA" w:rsidRDefault="002D6B7B" w:rsidP="002D6B7B">
      <w:pPr>
        <w:pStyle w:val="Prrafodelista"/>
        <w:numPr>
          <w:ilvl w:val="0"/>
          <w:numId w:val="1"/>
        </w:numPr>
        <w:suppressAutoHyphens/>
        <w:contextualSpacing w:val="0"/>
        <w:jc w:val="both"/>
        <w:rPr>
          <w:rFonts w:ascii="Century Gothic" w:eastAsia="Calibri" w:hAnsi="Century Gothic" w:cs="Times New Roman"/>
        </w:rPr>
      </w:pPr>
      <w:r w:rsidRPr="001A3DBA">
        <w:rPr>
          <w:rFonts w:ascii="Century Gothic" w:eastAsia="Calibri" w:hAnsi="Century Gothic" w:cs="Times New Roman"/>
        </w:rPr>
        <w:t>Implementar un registro de los Comité de Bioética (CB) y comités de Ética en Investigación (CEI) en investigación en que deberán inscribirse todos aquellos comités que se conformen en territorio provincial, tanto públicos como privados, debiendo indicar como mínimo su integración, campos disciplinares y manual de procedimiento en respecto de la disposición Nº 6677/10 ANMAT, y resolución nº 1480/11 del Ministerio de Salud de la Nación</w:t>
      </w:r>
    </w:p>
    <w:p w:rsidR="002D6B7B" w:rsidRPr="001A3DBA" w:rsidRDefault="002D6B7B" w:rsidP="002D6B7B">
      <w:pPr>
        <w:pStyle w:val="Prrafodelista"/>
        <w:numPr>
          <w:ilvl w:val="0"/>
          <w:numId w:val="1"/>
        </w:numPr>
        <w:suppressAutoHyphens/>
        <w:contextualSpacing w:val="0"/>
        <w:jc w:val="both"/>
        <w:rPr>
          <w:rFonts w:ascii="Century Gothic" w:eastAsia="Calibri" w:hAnsi="Century Gothic" w:cs="Times New Roman"/>
        </w:rPr>
      </w:pPr>
      <w:r w:rsidRPr="001A3DBA">
        <w:rPr>
          <w:rFonts w:ascii="Century Gothic" w:eastAsia="Calibri" w:hAnsi="Century Gothic" w:cs="Times New Roman"/>
        </w:rPr>
        <w:t>Realizar el Registro de las Investigaciones en Seres Humanos e Investigadores en conjunto con el Registro de Registro de Protocolos de Investigación e Investigadores del Registro Nacional de Investigaciones en Salud (RENIS).</w:t>
      </w:r>
    </w:p>
    <w:p w:rsidR="002D6B7B" w:rsidRDefault="002D6B7B" w:rsidP="002D6B7B">
      <w:pPr>
        <w:jc w:val="both"/>
      </w:pPr>
    </w:p>
    <w:p w:rsidR="002D6B7B" w:rsidRDefault="002D6B7B" w:rsidP="002D6B7B">
      <w:pPr>
        <w:jc w:val="both"/>
      </w:pPr>
    </w:p>
    <w:p w:rsidR="002D6B7B" w:rsidRDefault="002D6B7B" w:rsidP="002D6B7B">
      <w:pPr>
        <w:jc w:val="both"/>
      </w:pPr>
    </w:p>
    <w:p w:rsidR="002D6B7B" w:rsidRDefault="002D6B7B" w:rsidP="002D6B7B">
      <w:pPr>
        <w:jc w:val="both"/>
      </w:pPr>
    </w:p>
    <w:p w:rsidR="002D6B7B" w:rsidRDefault="002D6B7B" w:rsidP="002D6B7B">
      <w:pPr>
        <w:jc w:val="both"/>
      </w:pPr>
    </w:p>
    <w:p w:rsidR="002D6B7B" w:rsidRPr="001A3DBA" w:rsidRDefault="002D6B7B" w:rsidP="002D6B7B">
      <w:pPr>
        <w:pStyle w:val="Prrafodelista"/>
        <w:numPr>
          <w:ilvl w:val="0"/>
          <w:numId w:val="1"/>
        </w:numPr>
        <w:suppressAutoHyphens/>
        <w:contextualSpacing w:val="0"/>
        <w:jc w:val="both"/>
        <w:rPr>
          <w:rFonts w:ascii="Century Gothic" w:eastAsia="Calibri" w:hAnsi="Century Gothic" w:cs="Times New Roman"/>
        </w:rPr>
      </w:pPr>
      <w:r w:rsidRPr="001A3DBA">
        <w:rPr>
          <w:rFonts w:ascii="Century Gothic" w:eastAsia="Calibri" w:hAnsi="Century Gothic" w:cs="Times New Roman"/>
        </w:rPr>
        <w:t>Asesorar y asistir a los CB y CEI respecto de toda problemática que pueda surgir durante la práctica en salud o en investigaciones en salud humana, siempre que la intervención sea requerida por parte interesada.</w:t>
      </w:r>
    </w:p>
    <w:p w:rsidR="002D6B7B" w:rsidRPr="001A3DBA" w:rsidRDefault="002D6B7B" w:rsidP="002D6B7B">
      <w:pPr>
        <w:pStyle w:val="Prrafodelista"/>
        <w:numPr>
          <w:ilvl w:val="0"/>
          <w:numId w:val="1"/>
        </w:numPr>
        <w:suppressAutoHyphens/>
        <w:contextualSpacing w:val="0"/>
        <w:jc w:val="both"/>
        <w:rPr>
          <w:rFonts w:ascii="Century Gothic" w:eastAsia="Calibri" w:hAnsi="Century Gothic" w:cs="Times New Roman"/>
        </w:rPr>
      </w:pPr>
      <w:r w:rsidRPr="001A3DBA">
        <w:rPr>
          <w:rFonts w:ascii="Century Gothic" w:eastAsia="Calibri" w:hAnsi="Century Gothic" w:cs="Times New Roman"/>
        </w:rPr>
        <w:t>Evaluar Protocolos de Investigación de aquellas instituciones que no han conformado su propio CEI  o a modo de segunda instancia para aquellas instituciones que sí posean comité de ética institucional. Para estas evaluaciones, en caso de considerarse necesario, puede convocarse a un asesor externo, que será una persona de experiencia reconocida en la temática tratada en el protocolo o proyecto y que pueda brindar asistencia técnica.</w:t>
      </w:r>
    </w:p>
    <w:p w:rsidR="002D6B7B" w:rsidRPr="001A3DBA" w:rsidRDefault="002D6B7B" w:rsidP="002D6B7B">
      <w:pPr>
        <w:pStyle w:val="Prrafodelista"/>
        <w:numPr>
          <w:ilvl w:val="0"/>
          <w:numId w:val="1"/>
        </w:numPr>
        <w:suppressAutoHyphens/>
        <w:contextualSpacing w:val="0"/>
        <w:jc w:val="both"/>
        <w:rPr>
          <w:rFonts w:ascii="Century Gothic" w:eastAsia="Calibri" w:hAnsi="Century Gothic" w:cs="Times New Roman"/>
        </w:rPr>
      </w:pPr>
      <w:r w:rsidRPr="001A3DBA">
        <w:rPr>
          <w:rFonts w:ascii="Century Gothic" w:eastAsia="Calibri" w:hAnsi="Century Gothic" w:cs="Times New Roman"/>
        </w:rPr>
        <w:t>Servir como instancia de apelación de los proyectos o protocolos rechazados por los CB y CEI acreditados en la provincia</w:t>
      </w:r>
    </w:p>
    <w:p w:rsidR="002D6B7B" w:rsidRPr="001A3DBA" w:rsidRDefault="002D6B7B" w:rsidP="002D6B7B">
      <w:pPr>
        <w:pStyle w:val="Prrafodelista"/>
        <w:numPr>
          <w:ilvl w:val="0"/>
          <w:numId w:val="1"/>
        </w:numPr>
        <w:suppressAutoHyphens/>
        <w:contextualSpacing w:val="0"/>
        <w:jc w:val="both"/>
        <w:rPr>
          <w:rFonts w:ascii="Century Gothic" w:eastAsia="Calibri" w:hAnsi="Century Gothic" w:cs="Times New Roman"/>
        </w:rPr>
      </w:pPr>
      <w:r w:rsidRPr="001A3DBA">
        <w:rPr>
          <w:rFonts w:ascii="Century Gothic" w:eastAsia="Calibri" w:hAnsi="Century Gothic" w:cs="Times New Roman"/>
        </w:rPr>
        <w:t>Fomentar, planificar e implementar la capacitación periódica de los miembros de los comités especialmente a los relacionado a normas éticas de investigación a nivel nacional e internacional adaptadas a los contextos locales, conocimiento sobre el grado de riesgo de la participación humana en la investigación biomédica perspectiva desde el resguardo de los derecho humanos y  metodología de la investigación científica</w:t>
      </w:r>
    </w:p>
    <w:p w:rsidR="002D6B7B" w:rsidRPr="001A3DBA" w:rsidRDefault="002D6B7B" w:rsidP="002D6B7B">
      <w:pPr>
        <w:pStyle w:val="Prrafodelista"/>
        <w:numPr>
          <w:ilvl w:val="0"/>
          <w:numId w:val="1"/>
        </w:numPr>
        <w:suppressAutoHyphens/>
        <w:contextualSpacing w:val="0"/>
        <w:jc w:val="both"/>
        <w:rPr>
          <w:rFonts w:ascii="Century Gothic" w:eastAsia="Calibri" w:hAnsi="Century Gothic" w:cs="Times New Roman"/>
        </w:rPr>
      </w:pPr>
      <w:r w:rsidRPr="001A3DBA">
        <w:rPr>
          <w:rFonts w:ascii="Century Gothic" w:eastAsia="Calibri" w:hAnsi="Century Gothic" w:cs="Times New Roman"/>
        </w:rPr>
        <w:t>Desarrollar un sistema informático de comunicación entre ellos y el CCB y un registro de base de datos de las investigaciones y decisiones de los CB y CEI</w:t>
      </w:r>
    </w:p>
    <w:p w:rsidR="002D6B7B" w:rsidRPr="001A3DBA" w:rsidRDefault="002D6B7B" w:rsidP="002D6B7B">
      <w:pPr>
        <w:pStyle w:val="Prrafodelista"/>
        <w:numPr>
          <w:ilvl w:val="0"/>
          <w:numId w:val="1"/>
        </w:numPr>
        <w:suppressAutoHyphens/>
        <w:contextualSpacing w:val="0"/>
        <w:jc w:val="both"/>
        <w:rPr>
          <w:rFonts w:ascii="Century Gothic" w:eastAsia="Calibri" w:hAnsi="Century Gothic" w:cs="Times New Roman"/>
        </w:rPr>
      </w:pPr>
      <w:r w:rsidRPr="001A3DBA">
        <w:rPr>
          <w:rFonts w:ascii="Century Gothic" w:eastAsia="Calibri" w:hAnsi="Century Gothic" w:cs="Times New Roman"/>
        </w:rPr>
        <w:t xml:space="preserve">Proponer convenios de cooperación e intercambio con instituciones nacionales e internacionales que favorezcan el logro de sus objetivos.- </w:t>
      </w:r>
    </w:p>
    <w:p w:rsidR="002D6B7B" w:rsidRPr="001A3DBA" w:rsidRDefault="002D6B7B" w:rsidP="002D6B7B">
      <w:pPr>
        <w:pStyle w:val="Prrafodelista"/>
        <w:numPr>
          <w:ilvl w:val="0"/>
          <w:numId w:val="1"/>
        </w:numPr>
        <w:suppressAutoHyphens/>
        <w:contextualSpacing w:val="0"/>
        <w:jc w:val="both"/>
        <w:rPr>
          <w:rFonts w:ascii="Century Gothic" w:eastAsia="Calibri" w:hAnsi="Century Gothic" w:cs="Times New Roman"/>
        </w:rPr>
      </w:pPr>
      <w:r w:rsidRPr="001A3DBA">
        <w:rPr>
          <w:rFonts w:ascii="Century Gothic" w:eastAsia="Calibri" w:hAnsi="Century Gothic" w:cs="Times New Roman"/>
        </w:rPr>
        <w:t xml:space="preserve">En los casos comprendidos en el Art. 7 de la Disposición 4008/17, el CCB tendrá la función de contralor de las investigaciones en curso en el territorio provincial. </w:t>
      </w:r>
    </w:p>
    <w:p w:rsidR="002D6B7B" w:rsidRPr="001A3DBA" w:rsidRDefault="002D6B7B" w:rsidP="002D6B7B">
      <w:pPr>
        <w:jc w:val="both"/>
        <w:rPr>
          <w:rFonts w:ascii="Century Gothic" w:eastAsia="Calibri" w:hAnsi="Century Gothic" w:cs="Times New Roman"/>
        </w:rPr>
      </w:pPr>
      <w:r w:rsidRPr="001A3DBA">
        <w:rPr>
          <w:rFonts w:ascii="Century Gothic" w:eastAsia="Calibri" w:hAnsi="Century Gothic" w:cs="Times New Roman"/>
          <w:b/>
          <w:u w:val="single"/>
        </w:rPr>
        <w:t>Artículo 6º.-</w:t>
      </w:r>
      <w:r w:rsidRPr="001A3DBA">
        <w:rPr>
          <w:rFonts w:ascii="Century Gothic" w:eastAsia="Calibri" w:hAnsi="Century Gothic" w:cs="Times New Roman"/>
        </w:rPr>
        <w:t xml:space="preserve"> Se faculta al Ministerio de Salud la creación de las reglamentaciones y la determinación de requisitos y procedimientos referidos </w:t>
      </w:r>
      <w:proofErr w:type="gramStart"/>
      <w:r w:rsidRPr="001A3DBA">
        <w:rPr>
          <w:rFonts w:ascii="Century Gothic" w:eastAsia="Calibri" w:hAnsi="Century Gothic" w:cs="Times New Roman"/>
        </w:rPr>
        <w:t>a los artículos</w:t>
      </w:r>
      <w:proofErr w:type="gramEnd"/>
      <w:r w:rsidRPr="001A3DBA">
        <w:rPr>
          <w:rFonts w:ascii="Century Gothic" w:eastAsia="Calibri" w:hAnsi="Century Gothic" w:cs="Times New Roman"/>
        </w:rPr>
        <w:t xml:space="preserve"> 4º y 5º de la presente.- </w:t>
      </w:r>
    </w:p>
    <w:p w:rsidR="002D6B7B" w:rsidRDefault="002D6B7B" w:rsidP="002D6B7B">
      <w:pPr>
        <w:jc w:val="both"/>
      </w:pPr>
    </w:p>
    <w:p w:rsidR="002D6B7B" w:rsidRDefault="002D6B7B" w:rsidP="002D6B7B">
      <w:pPr>
        <w:jc w:val="both"/>
      </w:pPr>
    </w:p>
    <w:p w:rsidR="002D6B7B" w:rsidRDefault="002D6B7B" w:rsidP="002D6B7B">
      <w:pPr>
        <w:jc w:val="both"/>
      </w:pPr>
    </w:p>
    <w:p w:rsidR="002D6B7B" w:rsidRDefault="002D6B7B" w:rsidP="002D6B7B">
      <w:pPr>
        <w:jc w:val="both"/>
      </w:pPr>
    </w:p>
    <w:p w:rsidR="002D6B7B" w:rsidRDefault="002D6B7B" w:rsidP="002D6B7B">
      <w:pPr>
        <w:jc w:val="both"/>
      </w:pPr>
    </w:p>
    <w:p w:rsidR="002D6B7B" w:rsidRDefault="002D6B7B" w:rsidP="002D6B7B">
      <w:pPr>
        <w:jc w:val="both"/>
      </w:pPr>
    </w:p>
    <w:p w:rsidR="002D6B7B" w:rsidRPr="001A3DBA" w:rsidRDefault="002D6B7B" w:rsidP="002D6B7B">
      <w:pPr>
        <w:jc w:val="both"/>
        <w:rPr>
          <w:rFonts w:ascii="Century Gothic" w:eastAsia="Calibri" w:hAnsi="Century Gothic" w:cs="Times New Roman"/>
        </w:rPr>
      </w:pPr>
      <w:r w:rsidRPr="001A3DBA">
        <w:rPr>
          <w:rFonts w:ascii="Century Gothic" w:eastAsia="Calibri" w:hAnsi="Century Gothic" w:cs="Times New Roman"/>
          <w:b/>
          <w:u w:val="single"/>
        </w:rPr>
        <w:t>Articulo 7º.-</w:t>
      </w:r>
      <w:r w:rsidRPr="001A3DBA">
        <w:rPr>
          <w:rFonts w:ascii="Century Gothic" w:eastAsia="Calibri" w:hAnsi="Century Gothic" w:cs="Times New Roman"/>
        </w:rPr>
        <w:t xml:space="preserve"> Asimismo, se faculta al Ministerio de Salud a fijar el número de miembros del comité central mediante su reglamentación interna, designando a los integrantes del mismo, tanto a los que representen al Ministerio de Salud como aquellos que pertenezcan a organismos externos.- </w:t>
      </w:r>
    </w:p>
    <w:p w:rsidR="002D6B7B" w:rsidRPr="001A3DBA" w:rsidRDefault="00511F11" w:rsidP="002D6B7B">
      <w:pPr>
        <w:jc w:val="both"/>
        <w:rPr>
          <w:rFonts w:ascii="Calibri" w:eastAsia="Calibri" w:hAnsi="Calibri" w:cs="Times New Roman"/>
        </w:rPr>
      </w:pPr>
      <w:r>
        <w:rPr>
          <w:rFonts w:ascii="Century Gothic" w:eastAsia="Calibri" w:hAnsi="Century Gothic" w:cs="Times New Roman"/>
          <w:b/>
          <w:u w:val="single"/>
        </w:rPr>
        <w:t>Artículo 8</w:t>
      </w:r>
      <w:r w:rsidR="002D6B7B" w:rsidRPr="001A3DBA">
        <w:rPr>
          <w:rFonts w:ascii="Century Gothic" w:eastAsia="Calibri" w:hAnsi="Century Gothic" w:cs="Times New Roman"/>
          <w:b/>
          <w:u w:val="single"/>
        </w:rPr>
        <w:t>º.-</w:t>
      </w:r>
      <w:r w:rsidR="002D6B7B" w:rsidRPr="001A3DBA">
        <w:rPr>
          <w:rFonts w:ascii="Century Gothic" w:eastAsia="Calibri" w:hAnsi="Century Gothic" w:cs="Times New Roman"/>
        </w:rPr>
        <w:t xml:space="preserve"> </w:t>
      </w:r>
      <w:r w:rsidR="002D6B7B" w:rsidRPr="001A3DBA">
        <w:rPr>
          <w:rFonts w:ascii="Century Gothic" w:eastAsia="Calibri" w:hAnsi="Century Gothic" w:cs="Times New Roman"/>
          <w:bCs/>
        </w:rPr>
        <w:t>Comuníquese</w:t>
      </w:r>
      <w:r w:rsidR="002D6B7B" w:rsidRPr="001A3DBA">
        <w:rPr>
          <w:rFonts w:ascii="Century Gothic" w:eastAsia="Calibri" w:hAnsi="Century Gothic" w:cs="Times New Roman"/>
          <w:b/>
          <w:bCs/>
        </w:rPr>
        <w:t xml:space="preserve"> </w:t>
      </w:r>
      <w:r w:rsidR="002D6B7B" w:rsidRPr="001A3DBA">
        <w:rPr>
          <w:rFonts w:ascii="Century Gothic" w:eastAsia="Calibri" w:hAnsi="Century Gothic" w:cs="Times New Roman"/>
        </w:rPr>
        <w:t xml:space="preserve">al Poder Ejecutivo Provincial. </w:t>
      </w:r>
    </w:p>
    <w:p w:rsidR="002D6B7B" w:rsidRPr="001A3DBA" w:rsidRDefault="002D6B7B" w:rsidP="002D6B7B">
      <w:pPr>
        <w:jc w:val="both"/>
      </w:pPr>
    </w:p>
    <w:p w:rsidR="002D6B7B" w:rsidRPr="001A3DBA" w:rsidRDefault="002D6B7B" w:rsidP="002D6B7B">
      <w:pPr>
        <w:jc w:val="both"/>
      </w:pPr>
    </w:p>
    <w:p w:rsidR="00BD601A" w:rsidRDefault="00BD601A"/>
    <w:sectPr w:rsidR="00BD601A" w:rsidSect="00465F7B">
      <w:pgSz w:w="12240" w:h="15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lowerLetter"/>
      <w:lvlText w:val="%1)"/>
      <w:lvlJc w:val="left"/>
      <w:pPr>
        <w:tabs>
          <w:tab w:val="num" w:pos="0"/>
        </w:tabs>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B7B"/>
    <w:rsid w:val="002D6B7B"/>
    <w:rsid w:val="002E4B66"/>
    <w:rsid w:val="00511F11"/>
    <w:rsid w:val="008506F4"/>
    <w:rsid w:val="00BD601A"/>
    <w:rsid w:val="00BE7D75"/>
    <w:rsid w:val="00C13CAF"/>
    <w:rsid w:val="00CC17CF"/>
    <w:rsid w:val="00CC6156"/>
    <w:rsid w:val="00E2034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08872D-1602-4FD1-B3D9-56204427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B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2D6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1386</Words>
  <Characters>7624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mscristianm</dc:creator>
  <cp:lastModifiedBy>Senado</cp:lastModifiedBy>
  <cp:revision>2</cp:revision>
  <dcterms:created xsi:type="dcterms:W3CDTF">2019-06-25T20:59:00Z</dcterms:created>
  <dcterms:modified xsi:type="dcterms:W3CDTF">2019-06-25T20:59:00Z</dcterms:modified>
</cp:coreProperties>
</file>