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B7B" w:rsidRDefault="002D6B7B" w:rsidP="002D6B7B">
      <w:pPr>
        <w:jc w:val="both"/>
        <w:rPr>
          <w:b/>
          <w:i/>
        </w:rPr>
      </w:pPr>
      <w:bookmarkStart w:id="0" w:name="_GoBack"/>
      <w:bookmarkEnd w:id="0"/>
    </w:p>
    <w:p w:rsidR="008506F4" w:rsidRDefault="008506F4" w:rsidP="002D6B7B">
      <w:pPr>
        <w:jc w:val="both"/>
        <w:rPr>
          <w:b/>
          <w:i/>
        </w:rPr>
      </w:pPr>
    </w:p>
    <w:p w:rsidR="008506F4" w:rsidRDefault="008506F4" w:rsidP="002D6B7B">
      <w:pPr>
        <w:jc w:val="both"/>
        <w:rPr>
          <w:b/>
          <w:i/>
        </w:rPr>
      </w:pPr>
    </w:p>
    <w:p w:rsidR="008506F4" w:rsidRDefault="008506F4" w:rsidP="002D6B7B">
      <w:pPr>
        <w:jc w:val="both"/>
        <w:rPr>
          <w:b/>
          <w:i/>
        </w:rPr>
      </w:pPr>
    </w:p>
    <w:p w:rsidR="002D6B7B" w:rsidRDefault="002D6B7B" w:rsidP="002D6B7B">
      <w:pPr>
        <w:jc w:val="both"/>
      </w:pPr>
      <w:r>
        <w:rPr>
          <w:b/>
          <w:i/>
        </w:rPr>
        <w:t>FUNDAMENTOS</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Que la Provincia de Entre Ríos, por intermedio del Ministerio de Salud y la sanción de la Ley Provincial Nº 9799, de creación de los Comités Hospitalarios de Bioética, ha remarcado la importancia del control y asesoramiento en las decisiones a tomar dentro del campo de la práctica e investigación médica.</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Asimismo, el Ministerio de Salud por intermedio de la Resolución Nº 101/13 M.S. crea el Comité Central de Bioética en la práctica y en la investigación biomédica, organismo rector y superior respecto de los comités hospitalarios.</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 xml:space="preserve">Por ello, y con la intención de intensificar la dirección tomada en este campo, la presente ley pretende consolidar temporalmente el organismo creado mediante el dictado de la Resolución antes nombrada, transformando la decisión en una política de estado definida y a perdurar, independiente de las autoridades de turno. </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Así, resulta indispensable crear una entidad que nuclee a los COMITÉS HOSPITALARIOS DE BIOÉTICA (CHB) creados mediante LEY PROVINCIAL 9799 así como también los COMITES DE ÉTICA EN INVESTIGACIÓN, reglando sus procederes de manera genérica y definiendo posibles conflictos siguiendo los lineamientos de normas nacionales e internacionales vigentes en la materia.</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Que uno de los hechos que genera vulnerabilidad en la atención de la salud es la asimetría de poder existente paciente – equipo médico generando ello la pertinencia de la ética tanto en la práctica como en la investigación médica en resguardo de los derechos de las personas.</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Que reviste suma importancia el fomento y control de actividades de investigación en el área de salud pública, puesto que todo conocimiento proveniente de ella deviene imprescindible para planificar, guiar y reconducir, políticas, programas y servicios aplicables a la gestión sanitaria provincial.</w:t>
      </w:r>
    </w:p>
    <w:p w:rsidR="002D6B7B" w:rsidRDefault="002D6B7B" w:rsidP="002D6B7B">
      <w:pPr>
        <w:ind w:firstLine="993"/>
        <w:jc w:val="both"/>
        <w:rPr>
          <w:rFonts w:ascii="Century Gothic" w:hAnsi="Century Gothic"/>
        </w:rPr>
      </w:pPr>
      <w:r w:rsidRPr="005270FC">
        <w:rPr>
          <w:rFonts w:ascii="Century Gothic" w:eastAsia="Calibri" w:hAnsi="Century Gothic" w:cs="Times New Roman"/>
        </w:rPr>
        <w:t xml:space="preserve">Que en el campo de la práctica médica, como en el de la investigación en salud se encuentran </w:t>
      </w:r>
      <w:r>
        <w:rPr>
          <w:rFonts w:ascii="Century Gothic" w:hAnsi="Century Gothic"/>
        </w:rPr>
        <w:t xml:space="preserve"> </w:t>
      </w:r>
      <w:r w:rsidRPr="005270FC">
        <w:rPr>
          <w:rFonts w:ascii="Century Gothic" w:eastAsia="Calibri" w:hAnsi="Century Gothic" w:cs="Times New Roman"/>
        </w:rPr>
        <w:t xml:space="preserve">implicados </w:t>
      </w:r>
      <w:r>
        <w:rPr>
          <w:rFonts w:ascii="Century Gothic" w:hAnsi="Century Gothic"/>
        </w:rPr>
        <w:t xml:space="preserve"> </w:t>
      </w:r>
      <w:r w:rsidRPr="005270FC">
        <w:rPr>
          <w:rFonts w:ascii="Century Gothic" w:eastAsia="Calibri" w:hAnsi="Century Gothic" w:cs="Times New Roman"/>
        </w:rPr>
        <w:t>diversos</w:t>
      </w:r>
      <w:r>
        <w:rPr>
          <w:rFonts w:ascii="Century Gothic" w:hAnsi="Century Gothic"/>
        </w:rPr>
        <w:t xml:space="preserve"> </w:t>
      </w:r>
      <w:r w:rsidRPr="005270FC">
        <w:rPr>
          <w:rFonts w:ascii="Century Gothic" w:eastAsia="Calibri" w:hAnsi="Century Gothic" w:cs="Times New Roman"/>
        </w:rPr>
        <w:t xml:space="preserve"> factores, no </w:t>
      </w:r>
      <w:r>
        <w:rPr>
          <w:rFonts w:ascii="Century Gothic" w:hAnsi="Century Gothic"/>
        </w:rPr>
        <w:t xml:space="preserve"> </w:t>
      </w:r>
      <w:r w:rsidRPr="005270FC">
        <w:rPr>
          <w:rFonts w:ascii="Century Gothic" w:eastAsia="Calibri" w:hAnsi="Century Gothic" w:cs="Times New Roman"/>
        </w:rPr>
        <w:t xml:space="preserve">solo médicos </w:t>
      </w:r>
      <w:r>
        <w:rPr>
          <w:rFonts w:ascii="Century Gothic" w:hAnsi="Century Gothic"/>
        </w:rPr>
        <w:t xml:space="preserve">             </w:t>
      </w:r>
      <w:r w:rsidRPr="005270FC">
        <w:rPr>
          <w:rFonts w:ascii="Century Gothic" w:eastAsia="Calibri" w:hAnsi="Century Gothic" w:cs="Times New Roman"/>
        </w:rPr>
        <w:t xml:space="preserve">sino también </w:t>
      </w:r>
      <w:r>
        <w:rPr>
          <w:rFonts w:ascii="Century Gothic" w:hAnsi="Century Gothic"/>
        </w:rPr>
        <w:t xml:space="preserve"> </w:t>
      </w:r>
      <w:r w:rsidRPr="005270FC">
        <w:rPr>
          <w:rFonts w:ascii="Century Gothic" w:eastAsia="Calibri" w:hAnsi="Century Gothic" w:cs="Times New Roman"/>
        </w:rPr>
        <w:t xml:space="preserve">sociales </w:t>
      </w:r>
      <w:r>
        <w:rPr>
          <w:rFonts w:ascii="Century Gothic" w:hAnsi="Century Gothic"/>
        </w:rPr>
        <w:t xml:space="preserve"> </w:t>
      </w:r>
      <w:r w:rsidRPr="005270FC">
        <w:rPr>
          <w:rFonts w:ascii="Century Gothic" w:eastAsia="Calibri" w:hAnsi="Century Gothic" w:cs="Times New Roman"/>
        </w:rPr>
        <w:t>y</w:t>
      </w:r>
      <w:r>
        <w:rPr>
          <w:rFonts w:ascii="Century Gothic" w:hAnsi="Century Gothic"/>
        </w:rPr>
        <w:t xml:space="preserve"> </w:t>
      </w:r>
      <w:r w:rsidRPr="005270FC">
        <w:rPr>
          <w:rFonts w:ascii="Century Gothic" w:eastAsia="Calibri" w:hAnsi="Century Gothic" w:cs="Times New Roman"/>
        </w:rPr>
        <w:t xml:space="preserve"> jurídicos, </w:t>
      </w:r>
      <w:r>
        <w:rPr>
          <w:rFonts w:ascii="Century Gothic" w:hAnsi="Century Gothic"/>
        </w:rPr>
        <w:t xml:space="preserve"> </w:t>
      </w:r>
      <w:r w:rsidRPr="005270FC">
        <w:rPr>
          <w:rFonts w:ascii="Century Gothic" w:eastAsia="Calibri" w:hAnsi="Century Gothic" w:cs="Times New Roman"/>
        </w:rPr>
        <w:t xml:space="preserve">los </w:t>
      </w:r>
      <w:r>
        <w:rPr>
          <w:rFonts w:ascii="Century Gothic" w:hAnsi="Century Gothic"/>
        </w:rPr>
        <w:t xml:space="preserve">  </w:t>
      </w:r>
      <w:r w:rsidRPr="005270FC">
        <w:rPr>
          <w:rFonts w:ascii="Century Gothic" w:eastAsia="Calibri" w:hAnsi="Century Gothic" w:cs="Times New Roman"/>
        </w:rPr>
        <w:t>cuales</w:t>
      </w:r>
      <w:r>
        <w:rPr>
          <w:rFonts w:ascii="Century Gothic" w:hAnsi="Century Gothic"/>
        </w:rPr>
        <w:t xml:space="preserve"> </w:t>
      </w:r>
      <w:r w:rsidRPr="005270FC">
        <w:rPr>
          <w:rFonts w:ascii="Century Gothic" w:eastAsia="Calibri" w:hAnsi="Century Gothic" w:cs="Times New Roman"/>
        </w:rPr>
        <w:t xml:space="preserve"> deben </w:t>
      </w:r>
      <w:r>
        <w:rPr>
          <w:rFonts w:ascii="Century Gothic" w:hAnsi="Century Gothic"/>
        </w:rPr>
        <w:t xml:space="preserve"> </w:t>
      </w:r>
      <w:r w:rsidRPr="005270FC">
        <w:rPr>
          <w:rFonts w:ascii="Century Gothic" w:eastAsia="Calibri" w:hAnsi="Century Gothic" w:cs="Times New Roman"/>
        </w:rPr>
        <w:t xml:space="preserve">ser </w:t>
      </w:r>
      <w:r>
        <w:rPr>
          <w:rFonts w:ascii="Century Gothic" w:hAnsi="Century Gothic"/>
        </w:rPr>
        <w:t xml:space="preserve"> </w:t>
      </w:r>
      <w:r w:rsidRPr="005270FC">
        <w:rPr>
          <w:rFonts w:ascii="Century Gothic" w:eastAsia="Calibri" w:hAnsi="Century Gothic" w:cs="Times New Roman"/>
        </w:rPr>
        <w:t xml:space="preserve">atendidos </w:t>
      </w:r>
      <w:r>
        <w:rPr>
          <w:rFonts w:ascii="Century Gothic" w:hAnsi="Century Gothic"/>
        </w:rPr>
        <w:t xml:space="preserve"> </w:t>
      </w:r>
      <w:r w:rsidRPr="005270FC">
        <w:rPr>
          <w:rFonts w:ascii="Century Gothic" w:eastAsia="Calibri" w:hAnsi="Century Gothic" w:cs="Times New Roman"/>
        </w:rPr>
        <w:t xml:space="preserve">de </w:t>
      </w:r>
      <w:r>
        <w:rPr>
          <w:rFonts w:ascii="Century Gothic" w:hAnsi="Century Gothic"/>
        </w:rPr>
        <w:t xml:space="preserve">  </w:t>
      </w:r>
      <w:r w:rsidRPr="005270FC">
        <w:rPr>
          <w:rFonts w:ascii="Century Gothic" w:eastAsia="Calibri" w:hAnsi="Century Gothic" w:cs="Times New Roman"/>
        </w:rPr>
        <w:t xml:space="preserve">manera </w:t>
      </w:r>
    </w:p>
    <w:p w:rsidR="002D6B7B" w:rsidRDefault="002D6B7B" w:rsidP="002D6B7B">
      <w:pPr>
        <w:ind w:firstLine="993"/>
        <w:jc w:val="both"/>
        <w:rPr>
          <w:rFonts w:ascii="Century Gothic" w:hAnsi="Century Gothic"/>
        </w:rPr>
      </w:pPr>
    </w:p>
    <w:p w:rsidR="002D6B7B" w:rsidRDefault="002D6B7B" w:rsidP="002D6B7B">
      <w:pPr>
        <w:ind w:firstLine="993"/>
        <w:jc w:val="both"/>
        <w:rPr>
          <w:rFonts w:ascii="Century Gothic" w:hAnsi="Century Gothic"/>
        </w:rPr>
      </w:pPr>
    </w:p>
    <w:p w:rsidR="002D6B7B" w:rsidRDefault="002D6B7B" w:rsidP="002D6B7B">
      <w:pPr>
        <w:ind w:firstLine="993"/>
        <w:jc w:val="both"/>
        <w:rPr>
          <w:rFonts w:ascii="Century Gothic" w:hAnsi="Century Gothic"/>
        </w:rPr>
      </w:pPr>
    </w:p>
    <w:p w:rsidR="002D6B7B" w:rsidRDefault="002D6B7B" w:rsidP="002D6B7B">
      <w:pPr>
        <w:jc w:val="both"/>
        <w:rPr>
          <w:rFonts w:ascii="Century Gothic" w:hAnsi="Century Gothic"/>
        </w:rPr>
      </w:pPr>
    </w:p>
    <w:p w:rsidR="002D6B7B" w:rsidRDefault="002D6B7B" w:rsidP="002D6B7B">
      <w:pPr>
        <w:jc w:val="both"/>
        <w:rPr>
          <w:rFonts w:ascii="Century Gothic" w:hAnsi="Century Gothic"/>
        </w:rPr>
      </w:pPr>
    </w:p>
    <w:p w:rsidR="002D6B7B" w:rsidRPr="005270FC" w:rsidRDefault="002D6B7B" w:rsidP="002D6B7B">
      <w:pPr>
        <w:jc w:val="both"/>
        <w:rPr>
          <w:rFonts w:ascii="Century Gothic" w:eastAsia="Calibri" w:hAnsi="Century Gothic" w:cs="Times New Roman"/>
        </w:rPr>
      </w:pPr>
      <w:proofErr w:type="gramStart"/>
      <w:r w:rsidRPr="005270FC">
        <w:rPr>
          <w:rFonts w:ascii="Century Gothic" w:eastAsia="Calibri" w:hAnsi="Century Gothic" w:cs="Times New Roman"/>
        </w:rPr>
        <w:t>complementaria</w:t>
      </w:r>
      <w:proofErr w:type="gramEnd"/>
      <w:r w:rsidRPr="005270FC">
        <w:rPr>
          <w:rFonts w:ascii="Century Gothic" w:eastAsia="Calibri" w:hAnsi="Century Gothic" w:cs="Times New Roman"/>
        </w:rPr>
        <w:t xml:space="preserve"> a fin de lograr respuestas acertadas y realizables frente a las necesidades de la comunidad.</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 xml:space="preserve">Que la mera existencia de normativas regulatorias de la investigación biomédica no garantiza la protección real de los sujetos, la protección efectiva depende del cumplimiento concreto de esas normas, de la evaluación y supervisión ética de los protocolos de investigación y de la conducción concienzuda de los mismos, acciones que dependen necesariamente de la mano ejecutora pública. </w:t>
      </w:r>
    </w:p>
    <w:p w:rsidR="002D6B7B" w:rsidRPr="005270FC" w:rsidRDefault="002D6B7B" w:rsidP="002D6B7B">
      <w:pPr>
        <w:ind w:firstLine="993"/>
        <w:jc w:val="both"/>
        <w:rPr>
          <w:rFonts w:ascii="Century Gothic" w:eastAsia="Calibri" w:hAnsi="Century Gothic" w:cs="Times New Roman"/>
        </w:rPr>
      </w:pPr>
      <w:r w:rsidRPr="005270FC">
        <w:rPr>
          <w:rFonts w:ascii="Century Gothic" w:eastAsia="Calibri" w:hAnsi="Century Gothic" w:cs="Times New Roman"/>
        </w:rPr>
        <w:t>Que en consecuencia resulta necesario darle jerarquía a las acciones de bioética en la práctica médica y la investigación en salud, estableciendo un Comité Central de Bioética, en la práctica y en la investigación médica de la Provincia de Entre Ríos.</w:t>
      </w:r>
    </w:p>
    <w:p w:rsidR="002D6B7B" w:rsidRPr="00A34F70" w:rsidRDefault="002D6B7B" w:rsidP="002D6B7B">
      <w:pPr>
        <w:ind w:firstLine="993"/>
        <w:jc w:val="both"/>
        <w:rPr>
          <w:rFonts w:ascii="Century Gothic" w:hAnsi="Century Gothic"/>
        </w:rPr>
      </w:pPr>
    </w:p>
    <w:p w:rsidR="002D6B7B" w:rsidRDefault="002D6B7B" w:rsidP="002D6B7B">
      <w:pPr>
        <w:jc w:val="both"/>
        <w:rPr>
          <w:b/>
        </w:rPr>
      </w:pPr>
      <w:r>
        <w:rPr>
          <w:b/>
        </w:rPr>
        <w:t xml:space="preserve">              </w:t>
      </w: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p>
    <w:p w:rsidR="002D6B7B" w:rsidRDefault="002D6B7B" w:rsidP="002D6B7B">
      <w:pPr>
        <w:jc w:val="both"/>
        <w:rPr>
          <w:b/>
        </w:rPr>
      </w:pPr>
      <w:r>
        <w:rPr>
          <w:b/>
        </w:rPr>
        <w:t>LA LEGISLATURA DE LA PROVINCIA DE ENTRE RÍOS</w:t>
      </w:r>
    </w:p>
    <w:p w:rsidR="002D6B7B" w:rsidRDefault="002D6B7B" w:rsidP="002D6B7B">
      <w:pPr>
        <w:jc w:val="both"/>
        <w:rPr>
          <w:b/>
        </w:rPr>
      </w:pPr>
      <w:r>
        <w:rPr>
          <w:b/>
        </w:rPr>
        <w:t>SANCIONA CON FUERZA</w:t>
      </w:r>
    </w:p>
    <w:p w:rsidR="002D6B7B" w:rsidRDefault="002D6B7B" w:rsidP="002D6B7B">
      <w:pPr>
        <w:jc w:val="both"/>
        <w:rPr>
          <w:b/>
        </w:rPr>
      </w:pPr>
      <w:r>
        <w:rPr>
          <w:b/>
        </w:rPr>
        <w:t>DE LEY:</w:t>
      </w:r>
    </w:p>
    <w:p w:rsidR="002D6B7B" w:rsidRPr="00AE5AC7" w:rsidRDefault="002D6B7B" w:rsidP="002D6B7B">
      <w:pPr>
        <w:jc w:val="center"/>
        <w:rPr>
          <w:rFonts w:ascii="Century Gothic" w:eastAsia="Calibri" w:hAnsi="Century Gothic" w:cs="Times New Roman"/>
          <w:b/>
          <w:u w:val="single"/>
        </w:rPr>
      </w:pPr>
      <w:r w:rsidRPr="00AE5AC7">
        <w:rPr>
          <w:rFonts w:ascii="Century Gothic" w:eastAsia="Calibri" w:hAnsi="Century Gothic" w:cs="Times New Roman"/>
          <w:b/>
          <w:u w:val="single"/>
        </w:rPr>
        <w:t>CREACIÓN DE COMITÉ DE CENTRAL DE BIOÉTICA EN LA PRÁCTICA Y LA INVESTIGACIÓN BIOMÉDICA DEPENDIENTE DEL MINISTERIO DE SALUD</w:t>
      </w:r>
    </w:p>
    <w:p w:rsidR="002D6B7B" w:rsidRPr="001A3DBA" w:rsidRDefault="002D6B7B" w:rsidP="002D6B7B">
      <w:pPr>
        <w:jc w:val="both"/>
        <w:rPr>
          <w:rFonts w:ascii="Century Gothic" w:eastAsia="Calibri" w:hAnsi="Century Gothic" w:cs="Times New Roman"/>
        </w:rPr>
      </w:pPr>
      <w:r w:rsidRPr="001A3DBA">
        <w:rPr>
          <w:rFonts w:ascii="Century Gothic" w:eastAsia="Calibri" w:hAnsi="Century Gothic" w:cs="Times New Roman"/>
          <w:b/>
          <w:u w:val="single"/>
        </w:rPr>
        <w:t>Artículo 1º.-</w:t>
      </w:r>
      <w:r w:rsidRPr="001A3DBA">
        <w:rPr>
          <w:rFonts w:ascii="Century Gothic" w:eastAsia="Calibri" w:hAnsi="Century Gothic" w:cs="Times New Roman"/>
        </w:rPr>
        <w:t xml:space="preserve"> Crear el Comité Central de Bioética para la práctica y la investigación biomédica, dependiente de la DIRECCIÓN DE CIENCIA Y TECNOLOGÍA del  MINISTERIO DE SALUD DE ENTRE RÍOS el que estará conformado por profesionales y no profesionales en diversas materias a fin de abordar interdisciplinariamente las problemáticas que surjan en la praxis médica y en las investigaciones biomédicas</w:t>
      </w:r>
    </w:p>
    <w:p w:rsidR="002D6B7B" w:rsidRPr="001A3DBA" w:rsidRDefault="002D6B7B" w:rsidP="002D6B7B">
      <w:pPr>
        <w:jc w:val="both"/>
        <w:rPr>
          <w:rFonts w:ascii="Century Gothic" w:eastAsia="Calibri" w:hAnsi="Century Gothic" w:cs="Times New Roman"/>
        </w:rPr>
      </w:pPr>
      <w:r w:rsidRPr="001A3DBA">
        <w:rPr>
          <w:rFonts w:ascii="Century Gothic" w:eastAsia="Calibri" w:hAnsi="Century Gothic" w:cs="Times New Roman"/>
          <w:b/>
          <w:u w:val="single"/>
        </w:rPr>
        <w:t>Articulo 2º.-</w:t>
      </w:r>
      <w:r w:rsidRPr="001A3DBA">
        <w:rPr>
          <w:rFonts w:ascii="Century Gothic" w:eastAsia="Calibri" w:hAnsi="Century Gothic" w:cs="Times New Roman"/>
        </w:rPr>
        <w:t xml:space="preserve"> Establecer como fin rector del Comité Central de Bioética en la práctica y en la investigación biomédica, velar por el respeto de los fundamentos y principios de la ética y de los derechos humanos, tanto en las prácticas de salud como en el desenvolvimiento de las investigaciones en salud humana desarrolladas y a desarrollarse en territorio entrerriano. </w:t>
      </w:r>
    </w:p>
    <w:p w:rsidR="002D6B7B" w:rsidRDefault="002D6B7B" w:rsidP="002D6B7B">
      <w:pPr>
        <w:jc w:val="both"/>
        <w:rPr>
          <w:rFonts w:ascii="Century Gothic" w:hAnsi="Century Gothic"/>
        </w:rPr>
      </w:pPr>
      <w:r w:rsidRPr="001A3DBA">
        <w:rPr>
          <w:rFonts w:ascii="Century Gothic" w:eastAsia="Calibri" w:hAnsi="Century Gothic" w:cs="Times New Roman"/>
          <w:b/>
          <w:u w:val="single"/>
        </w:rPr>
        <w:t>Articulo 3º.-</w:t>
      </w:r>
      <w:r w:rsidRPr="001A3DBA">
        <w:rPr>
          <w:rFonts w:ascii="Century Gothic" w:eastAsia="Calibri" w:hAnsi="Century Gothic" w:cs="Times New Roman"/>
        </w:rPr>
        <w:t xml:space="preserve"> Disponer que el Comité Central de Bioética en la práctica y en la investigación biomédica estará integrado por miembros designados por el Ministerio de Salud, los que deberán ser profesionales de la salud reconocidos en su campo, con interés en la bioética, personas con formación en ciencias biológicas, especialistas en ciencias sociales y del comportamiento, público lego, representantes de diferentes cultos y/o universidades de los cuales surgirá un presidente, un vicepresidente, un secretario y vocales. Dichos profesionales deberán contar con destacada trayectoria, con idoneidad en su especialidad y de intachable recorrido profesional, sin observaciones éticas en su desempeño profesional, tanto en el ámbito público como privado, no podrán tener participación alguna en empresas privadas vinculadas al rubro, a fin de evitar colisión de intereses. Además el Comité Central de Bioética podrá contar con consultores en casos particulares, los cuales pueden ser miembros de hospitales de la Provincia y miembros de los Comités de Bioética o ética en Investigación  de </w:t>
      </w:r>
    </w:p>
    <w:p w:rsidR="002D6B7B" w:rsidRDefault="002D6B7B" w:rsidP="002D6B7B">
      <w:pPr>
        <w:jc w:val="both"/>
        <w:rPr>
          <w:rFonts w:ascii="Century Gothic" w:hAnsi="Century Gothic"/>
        </w:rPr>
      </w:pPr>
    </w:p>
    <w:p w:rsidR="002D6B7B" w:rsidRDefault="002D6B7B" w:rsidP="002D6B7B">
      <w:pPr>
        <w:jc w:val="both"/>
        <w:rPr>
          <w:rFonts w:ascii="Century Gothic" w:hAnsi="Century Gothic"/>
        </w:rPr>
      </w:pPr>
    </w:p>
    <w:p w:rsidR="002D6B7B" w:rsidRDefault="002D6B7B" w:rsidP="002D6B7B">
      <w:pPr>
        <w:jc w:val="both"/>
        <w:rPr>
          <w:rFonts w:ascii="Century Gothic" w:hAnsi="Century Gothic"/>
        </w:rPr>
      </w:pPr>
    </w:p>
    <w:p w:rsidR="002D6B7B" w:rsidRDefault="002D6B7B" w:rsidP="002D6B7B">
      <w:pPr>
        <w:jc w:val="both"/>
        <w:rPr>
          <w:rFonts w:ascii="Century Gothic" w:hAnsi="Century Gothic"/>
        </w:rPr>
      </w:pPr>
    </w:p>
    <w:p w:rsidR="002D6B7B" w:rsidRDefault="002D6B7B" w:rsidP="002D6B7B">
      <w:pPr>
        <w:jc w:val="both"/>
        <w:rPr>
          <w:rFonts w:ascii="Century Gothic" w:hAnsi="Century Gothic"/>
        </w:rPr>
      </w:pPr>
    </w:p>
    <w:p w:rsidR="002D6B7B" w:rsidRPr="001A3DBA" w:rsidRDefault="002D6B7B" w:rsidP="002D6B7B">
      <w:pPr>
        <w:jc w:val="both"/>
        <w:rPr>
          <w:rFonts w:ascii="Century Gothic" w:eastAsia="Calibri" w:hAnsi="Century Gothic" w:cs="Times New Roman"/>
        </w:rPr>
      </w:pPr>
      <w:proofErr w:type="gramStart"/>
      <w:r w:rsidRPr="001A3DBA">
        <w:rPr>
          <w:rFonts w:ascii="Century Gothic" w:eastAsia="Calibri" w:hAnsi="Century Gothic" w:cs="Times New Roman"/>
        </w:rPr>
        <w:t>los</w:t>
      </w:r>
      <w:proofErr w:type="gramEnd"/>
      <w:r w:rsidRPr="001A3DBA">
        <w:rPr>
          <w:rFonts w:ascii="Century Gothic" w:eastAsia="Calibri" w:hAnsi="Century Gothic" w:cs="Times New Roman"/>
        </w:rPr>
        <w:t xml:space="preserve"> Hospitales  de referencia en la Provincia o personas que por su formación profesional en Bioética se consideren necesarias en las actividades de este Comité.</w:t>
      </w:r>
    </w:p>
    <w:p w:rsidR="002D6B7B" w:rsidRPr="001A3DBA" w:rsidRDefault="002D6B7B" w:rsidP="002D6B7B">
      <w:pPr>
        <w:jc w:val="both"/>
        <w:rPr>
          <w:rFonts w:ascii="Century Gothic" w:eastAsia="Calibri" w:hAnsi="Century Gothic" w:cs="Times New Roman"/>
        </w:rPr>
      </w:pPr>
      <w:r w:rsidRPr="001A3DBA">
        <w:rPr>
          <w:rFonts w:ascii="Century Gothic" w:eastAsia="Calibri" w:hAnsi="Century Gothic" w:cs="Times New Roman"/>
          <w:b/>
          <w:u w:val="single"/>
        </w:rPr>
        <w:t>Artículo 4º.-</w:t>
      </w:r>
      <w:r w:rsidRPr="001A3DBA">
        <w:rPr>
          <w:rFonts w:ascii="Century Gothic" w:eastAsia="Calibri" w:hAnsi="Century Gothic" w:cs="Times New Roman"/>
        </w:rPr>
        <w:t xml:space="preserve"> Determinar que una vez conformado el Comité Central de Bioética para la práctica y la investigación biomédica, este dictará su reglamento interno definiendo aspectos operativos, periodicidad de reuniones, régimen de toma de decisiones, reemplazos, remociones, expulsiones de sus miembros y manual de procedimiento del mismo respecto al contralor de los Comités de Ética. </w:t>
      </w:r>
    </w:p>
    <w:p w:rsidR="002D6B7B" w:rsidRPr="001A3DBA" w:rsidRDefault="002D6B7B" w:rsidP="002D6B7B">
      <w:pPr>
        <w:jc w:val="both"/>
        <w:rPr>
          <w:rFonts w:ascii="Century Gothic" w:eastAsia="Calibri" w:hAnsi="Century Gothic" w:cs="Times New Roman"/>
        </w:rPr>
      </w:pPr>
      <w:r w:rsidRPr="001A3DBA">
        <w:rPr>
          <w:rFonts w:ascii="Century Gothic" w:eastAsia="Calibri" w:hAnsi="Century Gothic" w:cs="Times New Roman"/>
          <w:b/>
          <w:u w:val="single"/>
        </w:rPr>
        <w:t>Artículo 5º.-</w:t>
      </w:r>
      <w:r w:rsidRPr="001A3DBA">
        <w:rPr>
          <w:rFonts w:ascii="Century Gothic" w:eastAsia="Calibri" w:hAnsi="Century Gothic" w:cs="Times New Roman"/>
        </w:rPr>
        <w:t xml:space="preserve"> Fijar las funciones que tendrá el Comité Central de Bioética en la práctica y en la investigación biomédica, a saber:</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 xml:space="preserve">Reglar y fiscalizar las actividades que lleven adelante los comités de ética formados y a formarse en la provincia, siempre dentro de los márgenes establecidos por la Resolución Nº 1480/11 del MINISTERIO DE SALUD DE LA NACIÓN –GUÍA PARA INVESTIGACIONES CON SERES HUMANOS-  y por el marco normativo internacional (Código de </w:t>
      </w:r>
      <w:proofErr w:type="spellStart"/>
      <w:r w:rsidRPr="001A3DBA">
        <w:rPr>
          <w:rFonts w:ascii="Century Gothic" w:eastAsia="Calibri" w:hAnsi="Century Gothic" w:cs="Times New Roman"/>
        </w:rPr>
        <w:t>Nüremberg</w:t>
      </w:r>
      <w:proofErr w:type="spellEnd"/>
      <w:r w:rsidRPr="001A3DBA">
        <w:rPr>
          <w:rFonts w:ascii="Century Gothic" w:eastAsia="Calibri" w:hAnsi="Century Gothic" w:cs="Times New Roman"/>
        </w:rPr>
        <w:t xml:space="preserve">, Declaración de Helsinki, Declaración Universal sobre Bioética y Derechos Humanos –UNESCO 2005-, Documento de las Américas sobre buenas prácticas clínicas (OMS- OPS 2005), o de aquellas normas que en el futuro se dicten o las reemplacen. </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Implementar un registro de los Comité de Bioética (CB) y comités de Ética en Investigación (CEI) en investigación en que deberán inscribirse todos aquellos comités que se conformen en territorio provincial, tanto públicos como privados, debiendo indicar como mínimo su integración, campos disciplinares y manual de procedimiento en respecto de la disposición Nº 6677/10 ANMAT, y resolución nº 1480/11 del Ministerio de Salud de la Nación</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Realizar el Registro de las Investigaciones en Seres Humanos e Investigadores en conjunto con el Registro de Registro de Protocolos de Investigación e Investigadores del Registro Nacional de Investigaciones en Salud (RENIS).</w:t>
      </w:r>
    </w:p>
    <w:p w:rsidR="002D6B7B" w:rsidRDefault="002D6B7B" w:rsidP="002D6B7B">
      <w:pPr>
        <w:jc w:val="both"/>
      </w:pPr>
    </w:p>
    <w:p w:rsidR="002D6B7B" w:rsidRDefault="002D6B7B" w:rsidP="002D6B7B">
      <w:pPr>
        <w:jc w:val="both"/>
      </w:pPr>
    </w:p>
    <w:p w:rsidR="002D6B7B" w:rsidRDefault="002D6B7B" w:rsidP="002D6B7B">
      <w:pPr>
        <w:jc w:val="both"/>
      </w:pPr>
    </w:p>
    <w:p w:rsidR="002D6B7B" w:rsidRDefault="002D6B7B" w:rsidP="002D6B7B">
      <w:pPr>
        <w:jc w:val="both"/>
      </w:pPr>
    </w:p>
    <w:p w:rsidR="002D6B7B" w:rsidRDefault="002D6B7B" w:rsidP="002D6B7B">
      <w:pPr>
        <w:jc w:val="both"/>
      </w:pP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Asesorar y asistir a los CB y CEI respecto de toda problemática que pueda surgir durante la práctica en salud o en investigaciones en salud humana, siempre que la intervención sea requerida por parte interesada.</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Evaluar Protocolos de Investigación de aquellas instituciones que no han conformado su propio CEI  o a modo de segunda instancia para aquellas instituciones que sí posean comité de ética institucional. Para estas evaluaciones, en caso de considerarse necesario, puede convocarse a un asesor externo, que será una persona de experiencia reconocida en la temática tratada en el protocolo o proyecto y que pueda brindar asistencia técnica.</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Servir como instancia de apelación de los proyectos o protocolos rechazados por los CB y CEI acreditados en la provincia</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Fomentar, planificar e implementar la capacitación periódica de los miembros de los comités especialmente a los relacionado a normas éticas de investigación a nivel nacional e internacional adaptadas a los contextos locales, conocimiento sobre el grado de riesgo de la participación humana en la investigación biomédica perspectiva desde el resguardo de los derecho humanos y  metodología de la investigación científica</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Desarrollar un sistema informático de comunicación entre ellos y el CCB y un registro de base de datos de las investigaciones y decisiones de los CB y CEI</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 xml:space="preserve">Proponer convenios de cooperación e intercambio con instituciones nacionales e internacionales que favorezcan el logro de sus objetivos.- </w:t>
      </w:r>
    </w:p>
    <w:p w:rsidR="002D6B7B" w:rsidRPr="001A3DBA" w:rsidRDefault="002D6B7B" w:rsidP="002D6B7B">
      <w:pPr>
        <w:pStyle w:val="Prrafodelista"/>
        <w:numPr>
          <w:ilvl w:val="0"/>
          <w:numId w:val="1"/>
        </w:numPr>
        <w:suppressAutoHyphens/>
        <w:contextualSpacing w:val="0"/>
        <w:jc w:val="both"/>
        <w:rPr>
          <w:rFonts w:ascii="Century Gothic" w:eastAsia="Calibri" w:hAnsi="Century Gothic" w:cs="Times New Roman"/>
        </w:rPr>
      </w:pPr>
      <w:r w:rsidRPr="001A3DBA">
        <w:rPr>
          <w:rFonts w:ascii="Century Gothic" w:eastAsia="Calibri" w:hAnsi="Century Gothic" w:cs="Times New Roman"/>
        </w:rPr>
        <w:t xml:space="preserve">En los casos comprendidos en el Art. 7 de la Disposición 4008/17, el CCB tendrá la función de contralor de las investigaciones en curso en el territorio provincial. </w:t>
      </w:r>
    </w:p>
    <w:p w:rsidR="002D6B7B" w:rsidRPr="001A3DBA" w:rsidRDefault="002D6B7B" w:rsidP="002D6B7B">
      <w:pPr>
        <w:jc w:val="both"/>
        <w:rPr>
          <w:rFonts w:ascii="Century Gothic" w:eastAsia="Calibri" w:hAnsi="Century Gothic" w:cs="Times New Roman"/>
        </w:rPr>
      </w:pPr>
      <w:r w:rsidRPr="001A3DBA">
        <w:rPr>
          <w:rFonts w:ascii="Century Gothic" w:eastAsia="Calibri" w:hAnsi="Century Gothic" w:cs="Times New Roman"/>
          <w:b/>
          <w:u w:val="single"/>
        </w:rPr>
        <w:t>Artículo 6º.-</w:t>
      </w:r>
      <w:r w:rsidRPr="001A3DBA">
        <w:rPr>
          <w:rFonts w:ascii="Century Gothic" w:eastAsia="Calibri" w:hAnsi="Century Gothic" w:cs="Times New Roman"/>
        </w:rPr>
        <w:t xml:space="preserve"> Se faculta al Ministerio de Salud la creación de las reglamentaciones y la determinación de requisitos y procedimientos referidos </w:t>
      </w:r>
      <w:proofErr w:type="gramStart"/>
      <w:r w:rsidRPr="001A3DBA">
        <w:rPr>
          <w:rFonts w:ascii="Century Gothic" w:eastAsia="Calibri" w:hAnsi="Century Gothic" w:cs="Times New Roman"/>
        </w:rPr>
        <w:t>a los artículos</w:t>
      </w:r>
      <w:proofErr w:type="gramEnd"/>
      <w:r w:rsidRPr="001A3DBA">
        <w:rPr>
          <w:rFonts w:ascii="Century Gothic" w:eastAsia="Calibri" w:hAnsi="Century Gothic" w:cs="Times New Roman"/>
        </w:rPr>
        <w:t xml:space="preserve"> 4º y 5º de la presente.- </w:t>
      </w:r>
    </w:p>
    <w:p w:rsidR="002D6B7B" w:rsidRDefault="002D6B7B" w:rsidP="002D6B7B">
      <w:pPr>
        <w:jc w:val="both"/>
      </w:pPr>
    </w:p>
    <w:p w:rsidR="002D6B7B" w:rsidRDefault="002D6B7B" w:rsidP="002D6B7B">
      <w:pPr>
        <w:jc w:val="both"/>
      </w:pPr>
    </w:p>
    <w:p w:rsidR="002D6B7B" w:rsidRDefault="002D6B7B" w:rsidP="002D6B7B">
      <w:pPr>
        <w:jc w:val="both"/>
      </w:pPr>
    </w:p>
    <w:p w:rsidR="002D6B7B" w:rsidRDefault="002D6B7B" w:rsidP="002D6B7B">
      <w:pPr>
        <w:jc w:val="both"/>
      </w:pPr>
    </w:p>
    <w:p w:rsidR="002D6B7B" w:rsidRDefault="002D6B7B" w:rsidP="002D6B7B">
      <w:pPr>
        <w:jc w:val="both"/>
      </w:pPr>
    </w:p>
    <w:p w:rsidR="002D6B7B" w:rsidRDefault="002D6B7B" w:rsidP="002D6B7B">
      <w:pPr>
        <w:jc w:val="both"/>
      </w:pPr>
    </w:p>
    <w:p w:rsidR="002D6B7B" w:rsidRPr="001A3DBA" w:rsidRDefault="002D6B7B" w:rsidP="002D6B7B">
      <w:pPr>
        <w:jc w:val="both"/>
        <w:rPr>
          <w:rFonts w:ascii="Century Gothic" w:eastAsia="Calibri" w:hAnsi="Century Gothic" w:cs="Times New Roman"/>
        </w:rPr>
      </w:pPr>
      <w:r w:rsidRPr="001A3DBA">
        <w:rPr>
          <w:rFonts w:ascii="Century Gothic" w:eastAsia="Calibri" w:hAnsi="Century Gothic" w:cs="Times New Roman"/>
          <w:b/>
          <w:u w:val="single"/>
        </w:rPr>
        <w:t>Articulo 7º.-</w:t>
      </w:r>
      <w:r w:rsidRPr="001A3DBA">
        <w:rPr>
          <w:rFonts w:ascii="Century Gothic" w:eastAsia="Calibri" w:hAnsi="Century Gothic" w:cs="Times New Roman"/>
        </w:rPr>
        <w:t xml:space="preserve"> Asimismo, se faculta al Ministerio de Salud a fijar el número de miembros del comité central mediante su reglamentación interna, designando a los integrantes del mismo, tanto a los que representen al Ministerio de Salud como aquellos que pertenezcan a organismos externos.- </w:t>
      </w:r>
    </w:p>
    <w:p w:rsidR="002D6B7B" w:rsidRPr="001A3DBA" w:rsidRDefault="00511F11" w:rsidP="002D6B7B">
      <w:pPr>
        <w:jc w:val="both"/>
        <w:rPr>
          <w:rFonts w:ascii="Calibri" w:eastAsia="Calibri" w:hAnsi="Calibri" w:cs="Times New Roman"/>
        </w:rPr>
      </w:pPr>
      <w:r>
        <w:rPr>
          <w:rFonts w:ascii="Century Gothic" w:eastAsia="Calibri" w:hAnsi="Century Gothic" w:cs="Times New Roman"/>
          <w:b/>
          <w:u w:val="single"/>
        </w:rPr>
        <w:t>Artículo 8</w:t>
      </w:r>
      <w:r w:rsidR="002D6B7B" w:rsidRPr="001A3DBA">
        <w:rPr>
          <w:rFonts w:ascii="Century Gothic" w:eastAsia="Calibri" w:hAnsi="Century Gothic" w:cs="Times New Roman"/>
          <w:b/>
          <w:u w:val="single"/>
        </w:rPr>
        <w:t>º.-</w:t>
      </w:r>
      <w:r w:rsidR="002D6B7B" w:rsidRPr="001A3DBA">
        <w:rPr>
          <w:rFonts w:ascii="Century Gothic" w:eastAsia="Calibri" w:hAnsi="Century Gothic" w:cs="Times New Roman"/>
        </w:rPr>
        <w:t xml:space="preserve"> </w:t>
      </w:r>
      <w:r w:rsidR="002D6B7B" w:rsidRPr="001A3DBA">
        <w:rPr>
          <w:rFonts w:ascii="Century Gothic" w:eastAsia="Calibri" w:hAnsi="Century Gothic" w:cs="Times New Roman"/>
          <w:bCs/>
        </w:rPr>
        <w:t>Comuníquese</w:t>
      </w:r>
      <w:r w:rsidR="002D6B7B" w:rsidRPr="001A3DBA">
        <w:rPr>
          <w:rFonts w:ascii="Century Gothic" w:eastAsia="Calibri" w:hAnsi="Century Gothic" w:cs="Times New Roman"/>
          <w:b/>
          <w:bCs/>
        </w:rPr>
        <w:t xml:space="preserve"> </w:t>
      </w:r>
      <w:r w:rsidR="002D6B7B" w:rsidRPr="001A3DBA">
        <w:rPr>
          <w:rFonts w:ascii="Century Gothic" w:eastAsia="Calibri" w:hAnsi="Century Gothic" w:cs="Times New Roman"/>
        </w:rPr>
        <w:t xml:space="preserve">al Poder Ejecutivo Provincial. </w:t>
      </w:r>
    </w:p>
    <w:p w:rsidR="002D6B7B" w:rsidRPr="001A3DBA" w:rsidRDefault="002D6B7B" w:rsidP="002D6B7B">
      <w:pPr>
        <w:jc w:val="both"/>
      </w:pPr>
    </w:p>
    <w:p w:rsidR="002D6B7B" w:rsidRPr="001A3DBA" w:rsidRDefault="002D6B7B" w:rsidP="002D6B7B">
      <w:pPr>
        <w:jc w:val="both"/>
      </w:pPr>
    </w:p>
    <w:p w:rsidR="00BD601A" w:rsidRDefault="00BD601A"/>
    <w:sectPr w:rsidR="00BD601A" w:rsidSect="00465F7B">
      <w:pgSz w:w="12240" w:h="15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lowerLetter"/>
      <w:lvlText w:val="%1)"/>
      <w:lvlJc w:val="left"/>
      <w:pPr>
        <w:tabs>
          <w:tab w:val="num" w:pos="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B7B"/>
    <w:rsid w:val="002D6B7B"/>
    <w:rsid w:val="002E4B66"/>
    <w:rsid w:val="00511F11"/>
    <w:rsid w:val="008506F4"/>
    <w:rsid w:val="00BD601A"/>
    <w:rsid w:val="00BE7D75"/>
    <w:rsid w:val="00C13CAF"/>
    <w:rsid w:val="00CC17CF"/>
    <w:rsid w:val="00CC6156"/>
    <w:rsid w:val="00E203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08872D-1602-4FD1-B3D9-56204427A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B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2D6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1386</Words>
  <Characters>7624</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mscristianm</dc:creator>
  <cp:lastModifiedBy>Senado</cp:lastModifiedBy>
  <cp:revision>2</cp:revision>
  <dcterms:created xsi:type="dcterms:W3CDTF">2019-06-25T20:59:00Z</dcterms:created>
  <dcterms:modified xsi:type="dcterms:W3CDTF">2019-06-25T20:59:00Z</dcterms:modified>
</cp:coreProperties>
</file>