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772DB06C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r w:rsidR="004E161B">
        <w:rPr>
          <w:rFonts w:ascii="Arial" w:eastAsia="Arial" w:hAnsi="Arial" w:cs="Arial"/>
          <w:b/>
        </w:rPr>
        <w:t>Alejandro Javier BULLAY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4E161B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02365C0E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4E161B" w:rsidRPr="004E161B">
        <w:rPr>
          <w:rFonts w:ascii="Arial" w:eastAsia="Arial" w:hAnsi="Arial" w:cs="Arial"/>
        </w:rPr>
        <w:t>BULLAY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67453B3B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4E161B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4E161B">
        <w:rPr>
          <w:rFonts w:ascii="Arial" w:eastAsia="Arial" w:hAnsi="Arial" w:cs="Arial"/>
        </w:rPr>
        <w:t>BULLAY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1A1E6AD9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</w:t>
      </w:r>
      <w:r w:rsidR="000708ED">
        <w:rPr>
          <w:rFonts w:ascii="Arial" w:eastAsia="Arial" w:hAnsi="Arial" w:cs="Arial"/>
        </w:rPr>
        <w:t xml:space="preserve">Nº </w:t>
      </w:r>
      <w:r w:rsidR="004E161B">
        <w:rPr>
          <w:rFonts w:ascii="Arial" w:eastAsia="Arial" w:hAnsi="Arial" w:cs="Arial"/>
        </w:rPr>
        <w:t>4</w:t>
      </w:r>
      <w:r w:rsidR="003F2B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4E161B">
        <w:rPr>
          <w:rFonts w:ascii="Arial" w:eastAsia="Arial" w:hAnsi="Arial" w:cs="Arial"/>
          <w:b/>
        </w:rPr>
        <w:t>Alejandro Javier BULLAY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4E161B">
        <w:rPr>
          <w:rFonts w:ascii="Arial" w:eastAsia="Arial" w:hAnsi="Arial" w:cs="Arial"/>
        </w:rPr>
        <w:t>23.696.255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4E161B">
        <w:rPr>
          <w:rFonts w:ascii="Arial" w:eastAsia="Arial" w:hAnsi="Arial" w:cs="Arial"/>
        </w:rPr>
        <w:t>7</w:t>
      </w:r>
      <w:r w:rsidR="009259DF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3F2B93"/>
    <w:rsid w:val="00445D4B"/>
    <w:rsid w:val="00450402"/>
    <w:rsid w:val="004E161B"/>
    <w:rsid w:val="00582B70"/>
    <w:rsid w:val="0073553F"/>
    <w:rsid w:val="007732BA"/>
    <w:rsid w:val="007E3A39"/>
    <w:rsid w:val="00814106"/>
    <w:rsid w:val="009259DF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2019-10-31T12:54:00Z</dcterms:created>
  <dcterms:modified xsi:type="dcterms:W3CDTF">2019-10-31T12:54:00Z</dcterms:modified>
</cp:coreProperties>
</file>