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C711BA" w:rsidRDefault="00460CAD">
      <w:pPr>
        <w:spacing w:after="120" w:line="36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PROYECTO DE LEY</w:t>
      </w:r>
      <w:r>
        <w:rPr>
          <w:rFonts w:ascii="Times New Roman" w:eastAsia="Times New Roman" w:hAnsi="Times New Roman" w:cs="Times New Roman"/>
          <w:sz w:val="24"/>
          <w:szCs w:val="24"/>
        </w:rPr>
        <w:t xml:space="preserve"> </w:t>
      </w:r>
    </w:p>
    <w:p w14:paraId="00000002" w14:textId="77777777" w:rsidR="00C711BA" w:rsidRDefault="00460CAD">
      <w:pPr>
        <w:spacing w:after="120"/>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Autor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Lucas Larrarte.</w:t>
      </w:r>
    </w:p>
    <w:p w14:paraId="00000003" w14:textId="77777777" w:rsidR="00C711BA" w:rsidRDefault="00460CAD">
      <w:pPr>
        <w:spacing w:after="120"/>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Objeto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Modificar el artículo 64 de la Ley Nº 8.369. Habeas Data.</w:t>
      </w:r>
    </w:p>
    <w:p w14:paraId="00000004" w14:textId="77777777" w:rsidR="00C711BA" w:rsidRDefault="00C711BA">
      <w:pPr>
        <w:spacing w:after="120"/>
        <w:ind w:hanging="2"/>
        <w:jc w:val="both"/>
        <w:rPr>
          <w:rFonts w:ascii="Times New Roman" w:eastAsia="Times New Roman" w:hAnsi="Times New Roman" w:cs="Times New Roman"/>
          <w:color w:val="333333"/>
          <w:sz w:val="24"/>
          <w:szCs w:val="24"/>
          <w:highlight w:val="white"/>
        </w:rPr>
      </w:pPr>
    </w:p>
    <w:p w14:paraId="00000005" w14:textId="77777777" w:rsidR="00C711BA" w:rsidRDefault="00460CAD">
      <w:pPr>
        <w:spacing w:before="100" w:after="120"/>
        <w:ind w:righ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FUNDAMENTOS</w:t>
      </w:r>
    </w:p>
    <w:p w14:paraId="00000006" w14:textId="77777777" w:rsidR="00C711BA" w:rsidRDefault="00460CAD">
      <w:pPr>
        <w:spacing w:before="100" w:after="120"/>
        <w:ind w:left="6" w:right="60" w:firstLine="1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libertad de expresión constituye un pilar axial y liminar del sistema republicano, pues no sólo neutraliza a las autoridades que gobiernan sino que es el medio más idóneo para ilustrar a la sociedad y el soporte esencial de la circulación de ideas.</w:t>
      </w:r>
    </w:p>
    <w:p w14:paraId="00000007" w14:textId="77777777" w:rsidR="00C711BA" w:rsidRDefault="00460CAD">
      <w:pPr>
        <w:spacing w:before="100" w:after="120"/>
        <w:ind w:left="6" w:right="60" w:firstLine="1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ef</w:t>
      </w:r>
      <w:r>
        <w:rPr>
          <w:rFonts w:ascii="Times New Roman" w:eastAsia="Times New Roman" w:hAnsi="Times New Roman" w:cs="Times New Roman"/>
          <w:sz w:val="24"/>
          <w:szCs w:val="24"/>
        </w:rPr>
        <w:t>ectos de su tutela, nuestra Constitución Nacional consagra un amplio marco protector, que prevalece en muchos casos sobre otros derechos, en la medida que beneficie a la democracia y a su defensa o que sirvan como propuesta de cambio social (GELLI, María A</w:t>
      </w:r>
      <w:r>
        <w:rPr>
          <w:rFonts w:ascii="Times New Roman" w:eastAsia="Times New Roman" w:hAnsi="Times New Roman" w:cs="Times New Roman"/>
          <w:sz w:val="24"/>
          <w:szCs w:val="24"/>
        </w:rPr>
        <w:t>. "Constitución de la Nación Argentina", Ed. La Ley, 2003, pág. 88).</w:t>
      </w:r>
    </w:p>
    <w:p w14:paraId="00000008" w14:textId="77777777" w:rsidR="00C711BA" w:rsidRDefault="00460CAD">
      <w:pPr>
        <w:spacing w:before="100" w:after="120"/>
        <w:ind w:left="6" w:right="60" w:firstLine="1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esa inteligencia, el art. 14 que contempla el derecho de publicar las ideas sin censura previa, el art. 32 veda al Congreso dictar leyes que restrinjan la libertad de imprenta o establ</w:t>
      </w:r>
      <w:r>
        <w:rPr>
          <w:rFonts w:ascii="Times New Roman" w:eastAsia="Times New Roman" w:hAnsi="Times New Roman" w:cs="Times New Roman"/>
          <w:sz w:val="24"/>
          <w:szCs w:val="24"/>
        </w:rPr>
        <w:t>ezcan sobre ella la jurisdicción federal, el art. 43 párrafo tercero prohibe acceder a las fuentes de información periodística, el art. 83 prescribe el derecho de publicar por la prensa los nombres y fundamentos de los legisladores y las objeciones del Pod</w:t>
      </w:r>
      <w:r>
        <w:rPr>
          <w:rFonts w:ascii="Times New Roman" w:eastAsia="Times New Roman" w:hAnsi="Times New Roman" w:cs="Times New Roman"/>
          <w:sz w:val="24"/>
          <w:szCs w:val="24"/>
        </w:rPr>
        <w:t>er Ejecutivo en caso de insistencia del parlamento frente al veto presidencial al proyecto de ley de que se trate. Asimismo, revisten raigambre constitucional los arts. 19 de la Declaración Universal de Derechos Humanos y 13 de la Convención Americana sobr</w:t>
      </w:r>
      <w:r>
        <w:rPr>
          <w:rFonts w:ascii="Times New Roman" w:eastAsia="Times New Roman" w:hAnsi="Times New Roman" w:cs="Times New Roman"/>
          <w:sz w:val="24"/>
          <w:szCs w:val="24"/>
        </w:rPr>
        <w:t xml:space="preserve">e Derechos Humanos que estatuyen el derecho de expresión, que comprende la libertad de buscar, recibir y difundir informaciones. </w:t>
      </w:r>
    </w:p>
    <w:p w14:paraId="00000009" w14:textId="77777777" w:rsidR="00C711BA" w:rsidRDefault="00460CAD">
      <w:pPr>
        <w:spacing w:before="100" w:after="120"/>
        <w:ind w:left="6" w:right="60" w:firstLine="1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tenor de las normas citadas periodistas, comunicadores sociales e informadores gozan del derecho a no ser censurados en form</w:t>
      </w:r>
      <w:r>
        <w:rPr>
          <w:rFonts w:ascii="Times New Roman" w:eastAsia="Times New Roman" w:hAnsi="Times New Roman" w:cs="Times New Roman"/>
          <w:sz w:val="24"/>
          <w:szCs w:val="24"/>
        </w:rPr>
        <w:t>a explícita o encubierta, a investigar, difundir y publicar informaciones u opiniones, contar con instrumentos técnicos que le permitan hacerlo sin ser interferidos, con resguardo del secreto profesional y reserva de sus propias fuentes.</w:t>
      </w:r>
    </w:p>
    <w:p w14:paraId="0000000A" w14:textId="77777777" w:rsidR="00C711BA" w:rsidRDefault="00460CAD">
      <w:pPr>
        <w:spacing w:before="100" w:after="120"/>
        <w:ind w:left="6" w:right="60" w:firstLine="1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 parte nuest</w:t>
      </w:r>
      <w:r>
        <w:rPr>
          <w:rFonts w:ascii="Times New Roman" w:eastAsia="Times New Roman" w:hAnsi="Times New Roman" w:cs="Times New Roman"/>
          <w:sz w:val="24"/>
          <w:szCs w:val="24"/>
        </w:rPr>
        <w:t>ra Constitución Provincial, en su artículo 63, al regular la acción de habeas data señala, claramente, que: “</w:t>
      </w:r>
      <w:r>
        <w:rPr>
          <w:rFonts w:ascii="Times New Roman" w:eastAsia="Times New Roman" w:hAnsi="Times New Roman" w:cs="Times New Roman"/>
          <w:i/>
          <w:sz w:val="24"/>
          <w:szCs w:val="24"/>
        </w:rPr>
        <w:t>El ejercicio de este derecho no puede afectar las fuentes de información periodística ni el secreto profesional</w:t>
      </w:r>
      <w:r>
        <w:rPr>
          <w:rFonts w:ascii="Times New Roman" w:eastAsia="Times New Roman" w:hAnsi="Times New Roman" w:cs="Times New Roman"/>
          <w:sz w:val="24"/>
          <w:szCs w:val="24"/>
        </w:rPr>
        <w:t>”.</w:t>
      </w:r>
    </w:p>
    <w:p w14:paraId="0000000B" w14:textId="77777777" w:rsidR="00C711BA" w:rsidRDefault="00460CAD">
      <w:pPr>
        <w:spacing w:before="100" w:after="120"/>
        <w:ind w:left="6" w:right="60" w:firstLine="1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Más allá de toda discusión en rel</w:t>
      </w:r>
      <w:r>
        <w:rPr>
          <w:rFonts w:ascii="Times New Roman" w:eastAsia="Times New Roman" w:hAnsi="Times New Roman" w:cs="Times New Roman"/>
          <w:sz w:val="24"/>
          <w:szCs w:val="24"/>
        </w:rPr>
        <w:t>ación a las cláusulas programáticas y operativas</w:t>
      </w:r>
    </w:p>
    <w:p w14:paraId="0000000C" w14:textId="77777777" w:rsidR="00C711BA" w:rsidRDefault="00C711BA">
      <w:pPr>
        <w:spacing w:before="100" w:after="120"/>
        <w:ind w:left="6" w:right="60" w:firstLine="1127"/>
        <w:jc w:val="both"/>
        <w:rPr>
          <w:rFonts w:ascii="Times New Roman" w:eastAsia="Times New Roman" w:hAnsi="Times New Roman" w:cs="Times New Roman"/>
          <w:sz w:val="24"/>
          <w:szCs w:val="24"/>
        </w:rPr>
      </w:pPr>
    </w:p>
    <w:p w14:paraId="0000000D" w14:textId="77777777" w:rsidR="00C711BA" w:rsidRDefault="00460CAD">
      <w:pPr>
        <w:spacing w:before="100" w:after="120"/>
        <w:ind w:left="6" w:right="60" w:firstLine="1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 mismo tiempo debe señalarse que las provincias no se han reservado la facultad de dictar el derecho de fondo, sino que por el contrario, ello es facultad del Congreso Nacional, y que, en este orden de id</w:t>
      </w:r>
      <w:r>
        <w:rPr>
          <w:rFonts w:ascii="Times New Roman" w:eastAsia="Times New Roman" w:hAnsi="Times New Roman" w:cs="Times New Roman"/>
          <w:sz w:val="24"/>
          <w:szCs w:val="24"/>
        </w:rPr>
        <w:t>eas el Parlamento Nacional ha sancionado la Ley Nº 25.326 de “Protección de Datos Personales”, reglamentaria del artículo 43º de la Constitución Nacional, cuyo artículo 1º establece una norma tuitiva que reza: “</w:t>
      </w:r>
      <w:r>
        <w:rPr>
          <w:rFonts w:ascii="Times New Roman" w:eastAsia="Times New Roman" w:hAnsi="Times New Roman" w:cs="Times New Roman"/>
          <w:i/>
          <w:sz w:val="24"/>
          <w:szCs w:val="24"/>
        </w:rPr>
        <w:t>En ningún caso se podrán afectar la base de d</w:t>
      </w:r>
      <w:r>
        <w:rPr>
          <w:rFonts w:ascii="Times New Roman" w:eastAsia="Times New Roman" w:hAnsi="Times New Roman" w:cs="Times New Roman"/>
          <w:i/>
          <w:sz w:val="24"/>
          <w:szCs w:val="24"/>
        </w:rPr>
        <w:t>atos ni las fuentes de información periodísticas</w:t>
      </w:r>
      <w:r>
        <w:rPr>
          <w:rFonts w:ascii="Times New Roman" w:eastAsia="Times New Roman" w:hAnsi="Times New Roman" w:cs="Times New Roman"/>
          <w:sz w:val="24"/>
          <w:szCs w:val="24"/>
        </w:rPr>
        <w:t>”.</w:t>
      </w:r>
    </w:p>
    <w:p w14:paraId="0000000E" w14:textId="77777777" w:rsidR="00C711BA" w:rsidRDefault="00460CAD">
      <w:pPr>
        <w:spacing w:before="100" w:after="120"/>
        <w:ind w:left="6" w:right="60" w:firstLine="1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bien, aún cuando por el reparto constitucional de competencias -antes mencionado- la Provincia sólo debe legislar respecto de las vías procesales idóneas para garantizar la efectiva tutela judicial d</w:t>
      </w:r>
      <w:r>
        <w:rPr>
          <w:rFonts w:ascii="Times New Roman" w:eastAsia="Times New Roman" w:hAnsi="Times New Roman" w:cs="Times New Roman"/>
          <w:sz w:val="24"/>
          <w:szCs w:val="24"/>
        </w:rPr>
        <w:t>e los derechos constitucionales; aún cuando pensamos que el Derecho de Fondo (Ley de Protección de Datos Personales) ofrece un paraguas protector a la labor de la prensa; aún cuando entendemos que las cláusulas constitucionales son “operativas”; ante la pr</w:t>
      </w:r>
      <w:r>
        <w:rPr>
          <w:rFonts w:ascii="Times New Roman" w:eastAsia="Times New Roman" w:hAnsi="Times New Roman" w:cs="Times New Roman"/>
          <w:sz w:val="24"/>
          <w:szCs w:val="24"/>
        </w:rPr>
        <w:t>eocupación manifestada y con el propósito de aventar cualquier duda en cuanto a la operatividad de la manda constitucional tuitiva de la protección de datos y fuentes periodísticas, es que acompaño el presente proyecto con la intención de incluir en la nor</w:t>
      </w:r>
      <w:r>
        <w:rPr>
          <w:rFonts w:ascii="Times New Roman" w:eastAsia="Times New Roman" w:hAnsi="Times New Roman" w:cs="Times New Roman"/>
          <w:sz w:val="24"/>
          <w:szCs w:val="24"/>
        </w:rPr>
        <w:t xml:space="preserve">ma local regulatoria del proceso de Hábeas Data, el párrafo propuesto con carácter interpretativo o aclaratorio. </w:t>
      </w:r>
    </w:p>
    <w:p w14:paraId="0000000F" w14:textId="77777777" w:rsidR="00C711BA" w:rsidRDefault="00460CAD">
      <w:pPr>
        <w:spacing w:before="100" w:after="120"/>
        <w:ind w:left="6" w:right="60" w:firstLine="1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lo expuesto, solicito a mis pares la sanción del siguiente proyecto de ley.</w:t>
      </w:r>
    </w:p>
    <w:p w14:paraId="00000010" w14:textId="77777777" w:rsidR="00C711BA" w:rsidRDefault="00C711BA">
      <w:pPr>
        <w:spacing w:before="100" w:after="120"/>
        <w:ind w:left="6" w:right="60" w:firstLine="1127"/>
        <w:jc w:val="both"/>
        <w:rPr>
          <w:rFonts w:ascii="Times New Roman" w:eastAsia="Times New Roman" w:hAnsi="Times New Roman" w:cs="Times New Roman"/>
          <w:sz w:val="24"/>
          <w:szCs w:val="24"/>
        </w:rPr>
      </w:pPr>
    </w:p>
    <w:p w14:paraId="00000011" w14:textId="77777777" w:rsidR="00C711BA" w:rsidRDefault="00C711BA">
      <w:pPr>
        <w:spacing w:before="100" w:after="120"/>
        <w:ind w:left="6" w:right="60" w:firstLine="1127"/>
        <w:jc w:val="both"/>
        <w:rPr>
          <w:rFonts w:ascii="Times New Roman" w:eastAsia="Times New Roman" w:hAnsi="Times New Roman" w:cs="Times New Roman"/>
          <w:sz w:val="24"/>
          <w:szCs w:val="24"/>
        </w:rPr>
      </w:pPr>
    </w:p>
    <w:p w14:paraId="00000012" w14:textId="77777777" w:rsidR="00C711BA" w:rsidRDefault="00C711BA">
      <w:pPr>
        <w:spacing w:before="100" w:after="120"/>
        <w:ind w:left="6" w:right="60" w:firstLine="1127"/>
        <w:jc w:val="both"/>
        <w:rPr>
          <w:rFonts w:ascii="Times New Roman" w:eastAsia="Times New Roman" w:hAnsi="Times New Roman" w:cs="Times New Roman"/>
          <w:sz w:val="24"/>
          <w:szCs w:val="24"/>
        </w:rPr>
      </w:pPr>
    </w:p>
    <w:p w14:paraId="00000013" w14:textId="77777777" w:rsidR="00C711BA" w:rsidRDefault="00C711BA">
      <w:pPr>
        <w:spacing w:before="100" w:after="120"/>
        <w:ind w:right="60" w:firstLine="720"/>
        <w:jc w:val="both"/>
        <w:rPr>
          <w:rFonts w:ascii="Times New Roman" w:eastAsia="Times New Roman" w:hAnsi="Times New Roman" w:cs="Times New Roman"/>
          <w:sz w:val="24"/>
          <w:szCs w:val="24"/>
        </w:rPr>
      </w:pPr>
    </w:p>
    <w:p w14:paraId="00000014" w14:textId="77777777" w:rsidR="00C711BA" w:rsidRDefault="00C711BA">
      <w:pPr>
        <w:spacing w:line="360" w:lineRule="auto"/>
        <w:jc w:val="center"/>
        <w:rPr>
          <w:rFonts w:ascii="Times New Roman" w:eastAsia="Times New Roman" w:hAnsi="Times New Roman" w:cs="Times New Roman"/>
          <w:sz w:val="24"/>
          <w:szCs w:val="24"/>
        </w:rPr>
      </w:pPr>
    </w:p>
    <w:p w14:paraId="00000015" w14:textId="77777777" w:rsidR="00C711BA" w:rsidRDefault="00460CAD">
      <w:pPr>
        <w:spacing w:line="360" w:lineRule="auto"/>
        <w:jc w:val="center"/>
        <w:rPr>
          <w:rFonts w:ascii="Times New Roman" w:eastAsia="Times New Roman" w:hAnsi="Times New Roman" w:cs="Times New Roman"/>
          <w:sz w:val="24"/>
          <w:szCs w:val="24"/>
        </w:rPr>
      </w:pPr>
      <w:r>
        <w:br w:type="page"/>
      </w:r>
    </w:p>
    <w:p w14:paraId="00000016" w14:textId="77777777" w:rsidR="00C711BA" w:rsidRDefault="00460CA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LEGISLATURA DE LA PROVINCIA DE ENTRE RÍOS</w:t>
      </w:r>
    </w:p>
    <w:p w14:paraId="00000017" w14:textId="77777777" w:rsidR="00C711BA" w:rsidRDefault="00460CA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SANCIONA CON FUERZA DE</w:t>
      </w:r>
    </w:p>
    <w:p w14:paraId="00000018" w14:textId="77777777" w:rsidR="00C711BA" w:rsidRDefault="00460CA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 E Y :</w:t>
      </w:r>
    </w:p>
    <w:p w14:paraId="00000019" w14:textId="77777777" w:rsidR="00C711BA" w:rsidRDefault="00460CAD">
      <w:pPr>
        <w:spacing w:before="200"/>
        <w:ind w:firstLine="7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1º</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Agréguese como último párrafo del artículo 64 de la Ley Nº 8.369, conforme al texto sancionado en fecha 7 de Agosto de 2019 por ésta legislatura como del texto ordenad</w:t>
      </w:r>
      <w:r>
        <w:rPr>
          <w:rFonts w:ascii="Times New Roman" w:eastAsia="Times New Roman" w:hAnsi="Times New Roman" w:cs="Times New Roman"/>
          <w:sz w:val="24"/>
          <w:szCs w:val="24"/>
        </w:rPr>
        <w:t xml:space="preserve">o que deberá realizar el Poder Ejecutivo;  el siguiente: </w:t>
      </w:r>
    </w:p>
    <w:p w14:paraId="0000001A" w14:textId="77777777" w:rsidR="00C711BA" w:rsidRDefault="00460CAD">
      <w:pPr>
        <w:spacing w:before="20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En ningún caso se podrá afectar la base de datos, las fuentes de información periodísticas, ni el secreto profesional</w:t>
      </w:r>
      <w:r>
        <w:rPr>
          <w:rFonts w:ascii="Times New Roman" w:eastAsia="Times New Roman" w:hAnsi="Times New Roman" w:cs="Times New Roman"/>
          <w:sz w:val="24"/>
          <w:szCs w:val="24"/>
        </w:rPr>
        <w:t>”.</w:t>
      </w:r>
    </w:p>
    <w:p w14:paraId="0000001B" w14:textId="77777777" w:rsidR="00C711BA" w:rsidRDefault="00460CAD">
      <w:pPr>
        <w:spacing w:before="200"/>
        <w:ind w:firstLine="7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Artículo 2º</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De forma.</w:t>
      </w:r>
    </w:p>
    <w:p w14:paraId="0000001C" w14:textId="77777777" w:rsidR="00C711BA" w:rsidRDefault="00C711BA">
      <w:pPr>
        <w:spacing w:before="200"/>
        <w:ind w:firstLine="700"/>
        <w:jc w:val="both"/>
        <w:rPr>
          <w:rFonts w:ascii="Times New Roman" w:eastAsia="Times New Roman" w:hAnsi="Times New Roman" w:cs="Times New Roman"/>
          <w:b/>
          <w:sz w:val="24"/>
          <w:szCs w:val="24"/>
        </w:rPr>
      </w:pPr>
    </w:p>
    <w:p w14:paraId="0000001D" w14:textId="77777777" w:rsidR="00C711BA" w:rsidRDefault="00C711BA"/>
    <w:sectPr w:rsidR="00C711BA">
      <w:pgSz w:w="11906" w:h="16838"/>
      <w:pgMar w:top="3118" w:right="1133" w:bottom="1133" w:left="22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1BA"/>
    <w:rsid w:val="00460CAD"/>
    <w:rsid w:val="00C711B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E1A22F-23BF-4B54-8A99-DDB281F9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3476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dc:creator>
  <cp:lastModifiedBy>Romina</cp:lastModifiedBy>
  <cp:revision>2</cp:revision>
  <dcterms:created xsi:type="dcterms:W3CDTF">2019-08-08T21:48:00Z</dcterms:created>
  <dcterms:modified xsi:type="dcterms:W3CDTF">2019-08-08T21:48:00Z</dcterms:modified>
</cp:coreProperties>
</file>