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E79FD" w14:textId="77777777" w:rsidR="00512417" w:rsidRPr="00E3590B" w:rsidRDefault="00512417" w:rsidP="00E3590B">
      <w:pPr>
        <w:pStyle w:val="Default"/>
        <w:spacing w:line="288" w:lineRule="auto"/>
        <w:ind w:left="3686" w:firstLine="708"/>
        <w:rPr>
          <w:b/>
          <w:bCs/>
          <w:spacing w:val="20"/>
          <w:sz w:val="22"/>
          <w:szCs w:val="22"/>
        </w:rPr>
      </w:pPr>
    </w:p>
    <w:p w14:paraId="1D3A9C5B" w14:textId="77777777" w:rsidR="008D4D81" w:rsidRPr="00E3590B" w:rsidRDefault="008D4D81" w:rsidP="00E3590B">
      <w:pPr>
        <w:pStyle w:val="Default"/>
        <w:spacing w:line="288" w:lineRule="auto"/>
        <w:ind w:left="3828" w:firstLine="708"/>
        <w:rPr>
          <w:b/>
          <w:bCs/>
          <w:spacing w:val="20"/>
          <w:sz w:val="22"/>
          <w:szCs w:val="22"/>
        </w:rPr>
      </w:pPr>
      <w:r w:rsidRPr="00E3590B">
        <w:rPr>
          <w:b/>
          <w:bCs/>
          <w:spacing w:val="20"/>
          <w:sz w:val="22"/>
          <w:szCs w:val="22"/>
        </w:rPr>
        <w:t xml:space="preserve">PARANÁ, </w:t>
      </w:r>
    </w:p>
    <w:p w14:paraId="6C8D006F" w14:textId="77777777" w:rsidR="008D4D81" w:rsidRPr="00E3590B" w:rsidRDefault="008D4D81" w:rsidP="00E3590B">
      <w:pPr>
        <w:pStyle w:val="Default"/>
        <w:spacing w:line="288" w:lineRule="auto"/>
        <w:ind w:left="4248" w:firstLine="708"/>
        <w:rPr>
          <w:spacing w:val="20"/>
          <w:sz w:val="22"/>
          <w:szCs w:val="22"/>
        </w:rPr>
      </w:pPr>
    </w:p>
    <w:p w14:paraId="7856970F" w14:textId="77777777" w:rsidR="00512417" w:rsidRPr="00E3590B" w:rsidRDefault="00512417" w:rsidP="00E3590B">
      <w:pPr>
        <w:pStyle w:val="Default"/>
        <w:spacing w:line="288" w:lineRule="auto"/>
        <w:ind w:left="4248" w:firstLine="708"/>
        <w:rPr>
          <w:spacing w:val="20"/>
          <w:sz w:val="22"/>
          <w:szCs w:val="22"/>
        </w:rPr>
      </w:pPr>
    </w:p>
    <w:p w14:paraId="2CEE1AA7" w14:textId="77777777" w:rsidR="00512417" w:rsidRPr="00E3590B" w:rsidRDefault="00512417" w:rsidP="00E3590B">
      <w:pPr>
        <w:pStyle w:val="Default"/>
        <w:spacing w:line="288" w:lineRule="auto"/>
        <w:ind w:left="4248" w:firstLine="708"/>
        <w:rPr>
          <w:spacing w:val="20"/>
          <w:sz w:val="22"/>
          <w:szCs w:val="22"/>
        </w:rPr>
      </w:pPr>
    </w:p>
    <w:p w14:paraId="45814A6A" w14:textId="77777777" w:rsidR="008D4D81" w:rsidRPr="00E3590B" w:rsidRDefault="008D4D81" w:rsidP="00E3590B">
      <w:pPr>
        <w:pStyle w:val="Default"/>
        <w:spacing w:line="288" w:lineRule="auto"/>
        <w:rPr>
          <w:spacing w:val="20"/>
          <w:sz w:val="22"/>
          <w:szCs w:val="22"/>
        </w:rPr>
      </w:pPr>
      <w:r w:rsidRPr="00E3590B">
        <w:rPr>
          <w:b/>
          <w:bCs/>
          <w:spacing w:val="20"/>
          <w:sz w:val="22"/>
          <w:szCs w:val="22"/>
        </w:rPr>
        <w:t xml:space="preserve">A LA </w:t>
      </w:r>
    </w:p>
    <w:p w14:paraId="0C10A4DE" w14:textId="77777777" w:rsidR="00184A27" w:rsidRPr="00E3590B" w:rsidRDefault="008D4D81" w:rsidP="00E3590B">
      <w:pPr>
        <w:pStyle w:val="Default"/>
        <w:spacing w:line="288" w:lineRule="auto"/>
        <w:rPr>
          <w:b/>
          <w:bCs/>
          <w:spacing w:val="20"/>
          <w:sz w:val="22"/>
          <w:szCs w:val="22"/>
        </w:rPr>
      </w:pPr>
      <w:r w:rsidRPr="00E3590B">
        <w:rPr>
          <w:b/>
          <w:bCs/>
          <w:spacing w:val="20"/>
          <w:sz w:val="22"/>
          <w:szCs w:val="22"/>
        </w:rPr>
        <w:t>HONORABLE LEGISLATURA</w:t>
      </w:r>
    </w:p>
    <w:p w14:paraId="7591A2C0" w14:textId="77777777" w:rsidR="008D4D81" w:rsidRPr="00E3590B" w:rsidRDefault="00184A27" w:rsidP="00E3590B">
      <w:pPr>
        <w:pStyle w:val="Default"/>
        <w:spacing w:line="288" w:lineRule="auto"/>
        <w:rPr>
          <w:b/>
          <w:bCs/>
          <w:spacing w:val="20"/>
          <w:sz w:val="22"/>
          <w:szCs w:val="22"/>
          <w:u w:val="single"/>
        </w:rPr>
      </w:pPr>
      <w:r w:rsidRPr="00E3590B">
        <w:rPr>
          <w:b/>
          <w:bCs/>
          <w:spacing w:val="20"/>
          <w:sz w:val="22"/>
          <w:szCs w:val="22"/>
          <w:u w:val="single"/>
        </w:rPr>
        <w:t>S</w:t>
      </w:r>
      <w:r w:rsidR="00E3590B">
        <w:rPr>
          <w:b/>
          <w:bCs/>
          <w:spacing w:val="20"/>
          <w:sz w:val="22"/>
          <w:szCs w:val="22"/>
          <w:u w:val="single"/>
        </w:rPr>
        <w:t xml:space="preserve">             </w:t>
      </w:r>
      <w:r w:rsidRPr="00E3590B">
        <w:rPr>
          <w:b/>
          <w:bCs/>
          <w:spacing w:val="20"/>
          <w:sz w:val="22"/>
          <w:szCs w:val="22"/>
          <w:u w:val="single"/>
        </w:rPr>
        <w:t xml:space="preserve">   /</w:t>
      </w:r>
      <w:r w:rsidR="00E3590B">
        <w:rPr>
          <w:b/>
          <w:bCs/>
          <w:spacing w:val="20"/>
          <w:sz w:val="22"/>
          <w:szCs w:val="22"/>
          <w:u w:val="single"/>
        </w:rPr>
        <w:t xml:space="preserve">             </w:t>
      </w:r>
      <w:r w:rsidRPr="00E3590B">
        <w:rPr>
          <w:b/>
          <w:bCs/>
          <w:spacing w:val="20"/>
          <w:sz w:val="22"/>
          <w:szCs w:val="22"/>
          <w:u w:val="single"/>
        </w:rPr>
        <w:t xml:space="preserve">    D</w:t>
      </w:r>
    </w:p>
    <w:p w14:paraId="6F1D923D" w14:textId="77777777" w:rsidR="00E2611B" w:rsidRPr="00E3590B" w:rsidRDefault="00E3590B" w:rsidP="00E3590B">
      <w:pPr>
        <w:pStyle w:val="Default"/>
        <w:spacing w:line="288" w:lineRule="auto"/>
        <w:rPr>
          <w:spacing w:val="20"/>
          <w:sz w:val="22"/>
          <w:szCs w:val="22"/>
        </w:rPr>
      </w:pPr>
      <w:r>
        <w:rPr>
          <w:spacing w:val="20"/>
          <w:sz w:val="22"/>
          <w:szCs w:val="22"/>
        </w:rPr>
        <w:t xml:space="preserve">  </w:t>
      </w:r>
    </w:p>
    <w:p w14:paraId="5C801CFA" w14:textId="77777777" w:rsidR="00512417" w:rsidRPr="00E3590B" w:rsidRDefault="00512417" w:rsidP="00E3590B">
      <w:pPr>
        <w:pStyle w:val="Default"/>
        <w:spacing w:line="288" w:lineRule="auto"/>
        <w:rPr>
          <w:spacing w:val="20"/>
          <w:sz w:val="22"/>
          <w:szCs w:val="22"/>
        </w:rPr>
      </w:pPr>
    </w:p>
    <w:p w14:paraId="39E49589" w14:textId="77777777" w:rsidR="008D4D81" w:rsidRPr="00E3590B" w:rsidRDefault="008D4D81" w:rsidP="00E3590B">
      <w:pPr>
        <w:pStyle w:val="Default"/>
        <w:tabs>
          <w:tab w:val="left" w:pos="3119"/>
        </w:tabs>
        <w:spacing w:line="288" w:lineRule="auto"/>
        <w:jc w:val="both"/>
        <w:rPr>
          <w:spacing w:val="20"/>
          <w:sz w:val="22"/>
          <w:szCs w:val="22"/>
        </w:rPr>
      </w:pPr>
      <w:r w:rsidRPr="00E3590B">
        <w:rPr>
          <w:spacing w:val="20"/>
          <w:sz w:val="22"/>
          <w:szCs w:val="22"/>
        </w:rPr>
        <w:tab/>
        <w:t xml:space="preserve">Tengo el agrado de dirigirme a Vuestra Honorabilidad </w:t>
      </w:r>
      <w:r w:rsidR="00E92EF3" w:rsidRPr="00E3590B">
        <w:rPr>
          <w:spacing w:val="20"/>
          <w:sz w:val="22"/>
          <w:szCs w:val="22"/>
        </w:rPr>
        <w:t xml:space="preserve">a fin de remitir adjunto, para su consideración y tratamiento, </w:t>
      </w:r>
      <w:r w:rsidRPr="00E3590B">
        <w:rPr>
          <w:spacing w:val="20"/>
          <w:sz w:val="22"/>
          <w:szCs w:val="22"/>
        </w:rPr>
        <w:t>Proyecto de Ley de</w:t>
      </w:r>
      <w:r w:rsidR="000E5242" w:rsidRPr="00E3590B">
        <w:rPr>
          <w:spacing w:val="20"/>
          <w:sz w:val="22"/>
          <w:szCs w:val="22"/>
        </w:rPr>
        <w:t xml:space="preserve"> Régimen </w:t>
      </w:r>
      <w:r w:rsidR="00C4470E" w:rsidRPr="00E3590B">
        <w:rPr>
          <w:spacing w:val="20"/>
          <w:sz w:val="22"/>
          <w:szCs w:val="22"/>
        </w:rPr>
        <w:t xml:space="preserve">Provincial </w:t>
      </w:r>
      <w:r w:rsidR="000E5242" w:rsidRPr="00E3590B">
        <w:rPr>
          <w:spacing w:val="20"/>
          <w:sz w:val="22"/>
          <w:szCs w:val="22"/>
        </w:rPr>
        <w:t>de Coparticipación de</w:t>
      </w:r>
      <w:r w:rsidR="000A64F6" w:rsidRPr="00E3590B">
        <w:rPr>
          <w:spacing w:val="20"/>
          <w:sz w:val="22"/>
          <w:szCs w:val="22"/>
        </w:rPr>
        <w:t xml:space="preserve"> Impuestos Nacionales y Provinciales para las Comunas</w:t>
      </w:r>
      <w:r w:rsidRPr="00E3590B">
        <w:rPr>
          <w:spacing w:val="20"/>
          <w:sz w:val="22"/>
          <w:szCs w:val="22"/>
        </w:rPr>
        <w:t xml:space="preserve">. </w:t>
      </w:r>
      <w:r w:rsidRPr="00E3590B">
        <w:rPr>
          <w:spacing w:val="20"/>
          <w:sz w:val="22"/>
          <w:szCs w:val="22"/>
        </w:rPr>
        <w:tab/>
      </w:r>
    </w:p>
    <w:p w14:paraId="11498622" w14:textId="77777777" w:rsidR="00E92EF3" w:rsidRPr="00E3590B" w:rsidRDefault="00E92EF3" w:rsidP="00E3590B">
      <w:pPr>
        <w:pStyle w:val="Default"/>
        <w:tabs>
          <w:tab w:val="left" w:pos="3119"/>
        </w:tabs>
        <w:spacing w:line="288" w:lineRule="auto"/>
        <w:jc w:val="both"/>
        <w:rPr>
          <w:spacing w:val="20"/>
          <w:sz w:val="22"/>
          <w:szCs w:val="22"/>
        </w:rPr>
      </w:pPr>
    </w:p>
    <w:p w14:paraId="4CAB8644" w14:textId="77777777" w:rsidR="008D4D81" w:rsidRPr="00E3590B" w:rsidRDefault="008D4D81" w:rsidP="00E3590B">
      <w:pPr>
        <w:pStyle w:val="Default"/>
        <w:tabs>
          <w:tab w:val="left" w:pos="3119"/>
        </w:tabs>
        <w:spacing w:line="288" w:lineRule="auto"/>
        <w:jc w:val="both"/>
        <w:rPr>
          <w:spacing w:val="20"/>
          <w:sz w:val="22"/>
          <w:szCs w:val="22"/>
        </w:rPr>
      </w:pPr>
      <w:r w:rsidRPr="00E3590B">
        <w:rPr>
          <w:spacing w:val="20"/>
          <w:sz w:val="22"/>
          <w:szCs w:val="22"/>
        </w:rPr>
        <w:tab/>
        <w:t xml:space="preserve">La remisión del Proyecto de Ley se </w:t>
      </w:r>
      <w:r w:rsidR="000A64F6" w:rsidRPr="00E3590B">
        <w:rPr>
          <w:spacing w:val="20"/>
          <w:sz w:val="22"/>
          <w:szCs w:val="22"/>
        </w:rPr>
        <w:t>funda en lo establecido</w:t>
      </w:r>
      <w:r w:rsidRPr="00E3590B">
        <w:rPr>
          <w:spacing w:val="20"/>
          <w:sz w:val="22"/>
          <w:szCs w:val="22"/>
        </w:rPr>
        <w:t xml:space="preserve"> por el Artículo </w:t>
      </w:r>
      <w:r w:rsidR="000A64F6" w:rsidRPr="00E3590B">
        <w:rPr>
          <w:spacing w:val="20"/>
          <w:sz w:val="22"/>
          <w:szCs w:val="22"/>
        </w:rPr>
        <w:t>293</w:t>
      </w:r>
      <w:r w:rsidRPr="00E3590B">
        <w:rPr>
          <w:spacing w:val="20"/>
          <w:sz w:val="22"/>
          <w:szCs w:val="22"/>
        </w:rPr>
        <w:t xml:space="preserve">º de la CONSTITUCION PROVINCIAL, </w:t>
      </w:r>
      <w:r w:rsidR="000A64F6" w:rsidRPr="00E3590B">
        <w:rPr>
          <w:spacing w:val="20"/>
          <w:sz w:val="22"/>
          <w:szCs w:val="22"/>
        </w:rPr>
        <w:t xml:space="preserve">en cuanto a que una ley reglamentará la implementación de la automaticidad de la remisión de fondos coparticipables a los municipios y comunas que establece el Artículo 246° de la Carta Magna. </w:t>
      </w:r>
    </w:p>
    <w:p w14:paraId="6B4AB638" w14:textId="77777777" w:rsidR="00E92EF3" w:rsidRPr="00E3590B" w:rsidRDefault="00E92EF3" w:rsidP="00E3590B">
      <w:pPr>
        <w:pStyle w:val="Default"/>
        <w:tabs>
          <w:tab w:val="left" w:pos="3119"/>
        </w:tabs>
        <w:spacing w:line="288" w:lineRule="auto"/>
        <w:jc w:val="both"/>
        <w:rPr>
          <w:spacing w:val="20"/>
          <w:sz w:val="22"/>
          <w:szCs w:val="22"/>
        </w:rPr>
      </w:pPr>
    </w:p>
    <w:p w14:paraId="2C3D622E" w14:textId="77777777" w:rsidR="000A64F6" w:rsidRPr="00E3590B" w:rsidRDefault="008D4D81" w:rsidP="00E3590B">
      <w:pPr>
        <w:pStyle w:val="Default"/>
        <w:tabs>
          <w:tab w:val="left" w:pos="3119"/>
        </w:tabs>
        <w:spacing w:line="288" w:lineRule="auto"/>
        <w:jc w:val="both"/>
        <w:rPr>
          <w:spacing w:val="20"/>
          <w:sz w:val="22"/>
          <w:szCs w:val="22"/>
        </w:rPr>
      </w:pPr>
      <w:r w:rsidRPr="00E3590B">
        <w:rPr>
          <w:spacing w:val="20"/>
          <w:sz w:val="22"/>
          <w:szCs w:val="22"/>
        </w:rPr>
        <w:tab/>
      </w:r>
      <w:r w:rsidR="000A64F6" w:rsidRPr="00E3590B">
        <w:rPr>
          <w:spacing w:val="20"/>
          <w:sz w:val="22"/>
          <w:szCs w:val="22"/>
        </w:rPr>
        <w:t xml:space="preserve">En este sentido, el artículo 246º de la CONSTITUCION PROVINCIAL garantiza el siguiente sistema de coparticipación impositiva obligatoria (Distribución Primaria) para Gobiernos Locales de la Provincia: </w:t>
      </w:r>
    </w:p>
    <w:p w14:paraId="49EC3E7A" w14:textId="77777777" w:rsidR="000A64F6" w:rsidRPr="00E3590B" w:rsidRDefault="000A64F6" w:rsidP="00E3590B">
      <w:pPr>
        <w:pStyle w:val="Default"/>
        <w:tabs>
          <w:tab w:val="left" w:pos="3119"/>
        </w:tabs>
        <w:spacing w:line="288" w:lineRule="auto"/>
        <w:jc w:val="both"/>
        <w:rPr>
          <w:spacing w:val="20"/>
          <w:sz w:val="22"/>
          <w:szCs w:val="22"/>
        </w:rPr>
      </w:pPr>
      <w:r w:rsidRPr="00E3590B">
        <w:rPr>
          <w:spacing w:val="20"/>
          <w:sz w:val="22"/>
          <w:szCs w:val="22"/>
        </w:rPr>
        <w:t xml:space="preserve">a) Impuestos Nacionales: de la totalidad de los ingresos tributarios que a la Provincia le correspondan en concepto de coparticipación federal de impuestos nacionales, sea por régimen general u otro que lo complemente o sustituya y que no tengan afectación específica, el monto a distribuir a los municipios no podrá ser inferior al dieciséis por ciento y a </w:t>
      </w:r>
      <w:r w:rsidR="00D76613" w:rsidRPr="00E3590B">
        <w:rPr>
          <w:spacing w:val="20"/>
          <w:sz w:val="22"/>
          <w:szCs w:val="22"/>
        </w:rPr>
        <w:t>las comunas, al uno por ciento.</w:t>
      </w:r>
    </w:p>
    <w:p w14:paraId="072597E7" w14:textId="77777777" w:rsidR="000A64F6" w:rsidRPr="00E3590B" w:rsidRDefault="000A64F6" w:rsidP="00E3590B">
      <w:pPr>
        <w:pStyle w:val="Default"/>
        <w:tabs>
          <w:tab w:val="left" w:pos="3119"/>
        </w:tabs>
        <w:spacing w:line="288" w:lineRule="auto"/>
        <w:jc w:val="both"/>
        <w:rPr>
          <w:spacing w:val="20"/>
          <w:sz w:val="22"/>
          <w:szCs w:val="22"/>
        </w:rPr>
      </w:pPr>
      <w:r w:rsidRPr="00E3590B">
        <w:rPr>
          <w:spacing w:val="20"/>
          <w:sz w:val="22"/>
          <w:szCs w:val="22"/>
        </w:rPr>
        <w:t>b) Impuestos Provinciales: de la totalidad de la recaudación de los ingresos tributarios provinciales, el monto a distribuir a los municipios no podrá ser inferior al dieciocho por ciento y a</w:t>
      </w:r>
      <w:r w:rsidR="00D76613" w:rsidRPr="00E3590B">
        <w:rPr>
          <w:spacing w:val="20"/>
          <w:sz w:val="22"/>
          <w:szCs w:val="22"/>
        </w:rPr>
        <w:t xml:space="preserve"> las comunas al uno por ciento.</w:t>
      </w:r>
    </w:p>
    <w:p w14:paraId="48413AA1" w14:textId="77777777" w:rsidR="00E92EF3" w:rsidRPr="00E3590B" w:rsidRDefault="00E92EF3" w:rsidP="00E3590B">
      <w:pPr>
        <w:pStyle w:val="Default"/>
        <w:tabs>
          <w:tab w:val="left" w:pos="3119"/>
        </w:tabs>
        <w:spacing w:line="288" w:lineRule="auto"/>
        <w:jc w:val="both"/>
        <w:rPr>
          <w:spacing w:val="20"/>
          <w:sz w:val="22"/>
          <w:szCs w:val="22"/>
        </w:rPr>
      </w:pPr>
    </w:p>
    <w:p w14:paraId="097317CC" w14:textId="77777777" w:rsidR="00F62C17" w:rsidRPr="00E3590B" w:rsidRDefault="005F2511" w:rsidP="00E3590B">
      <w:pPr>
        <w:pStyle w:val="Default"/>
        <w:tabs>
          <w:tab w:val="left" w:pos="3119"/>
        </w:tabs>
        <w:spacing w:line="288" w:lineRule="auto"/>
        <w:jc w:val="both"/>
        <w:rPr>
          <w:spacing w:val="20"/>
          <w:sz w:val="22"/>
          <w:szCs w:val="22"/>
        </w:rPr>
      </w:pPr>
      <w:r w:rsidRPr="00E3590B">
        <w:rPr>
          <w:spacing w:val="20"/>
          <w:sz w:val="22"/>
          <w:szCs w:val="22"/>
        </w:rPr>
        <w:lastRenderedPageBreak/>
        <w:tab/>
        <w:t>Asimismo, el Artículo 246° de la CONSTITUCIÓN PROVINCIAL establece que l</w:t>
      </w:r>
      <w:r w:rsidR="000A64F6" w:rsidRPr="00E3590B">
        <w:rPr>
          <w:spacing w:val="20"/>
          <w:sz w:val="22"/>
          <w:szCs w:val="22"/>
        </w:rPr>
        <w:t>a Provincia transferirá automática y diariamente, el mon</w:t>
      </w:r>
      <w:r w:rsidRPr="00E3590B">
        <w:rPr>
          <w:spacing w:val="20"/>
          <w:sz w:val="22"/>
          <w:szCs w:val="22"/>
        </w:rPr>
        <w:t>to de dichas coparticipacio</w:t>
      </w:r>
      <w:r w:rsidR="00F62C17" w:rsidRPr="00E3590B">
        <w:rPr>
          <w:spacing w:val="20"/>
          <w:sz w:val="22"/>
          <w:szCs w:val="22"/>
        </w:rPr>
        <w:t>nes.</w:t>
      </w:r>
    </w:p>
    <w:p w14:paraId="1F649067" w14:textId="77777777" w:rsidR="00E92EF3" w:rsidRPr="00E3590B" w:rsidRDefault="00E92EF3" w:rsidP="00E3590B">
      <w:pPr>
        <w:pStyle w:val="Default"/>
        <w:tabs>
          <w:tab w:val="left" w:pos="3119"/>
        </w:tabs>
        <w:spacing w:line="288" w:lineRule="auto"/>
        <w:jc w:val="both"/>
        <w:rPr>
          <w:spacing w:val="20"/>
          <w:sz w:val="22"/>
          <w:szCs w:val="22"/>
        </w:rPr>
      </w:pPr>
    </w:p>
    <w:p w14:paraId="70048819" w14:textId="77777777" w:rsidR="00BC0D68" w:rsidRPr="00E3590B" w:rsidRDefault="00D76613" w:rsidP="00E3590B">
      <w:pPr>
        <w:pStyle w:val="Default"/>
        <w:tabs>
          <w:tab w:val="left" w:pos="3119"/>
        </w:tabs>
        <w:spacing w:line="288" w:lineRule="auto"/>
        <w:jc w:val="both"/>
        <w:rPr>
          <w:spacing w:val="20"/>
          <w:sz w:val="22"/>
          <w:szCs w:val="22"/>
        </w:rPr>
      </w:pPr>
      <w:r w:rsidRPr="00E3590B">
        <w:rPr>
          <w:spacing w:val="20"/>
          <w:sz w:val="22"/>
          <w:szCs w:val="22"/>
        </w:rPr>
        <w:tab/>
      </w:r>
      <w:r w:rsidR="003B5128" w:rsidRPr="00E3590B">
        <w:rPr>
          <w:spacing w:val="20"/>
          <w:sz w:val="22"/>
          <w:szCs w:val="22"/>
        </w:rPr>
        <w:t xml:space="preserve">En cuanto a la asignación de la coparticipación a Comunas, el </w:t>
      </w:r>
      <w:r w:rsidR="00BC0D68" w:rsidRPr="00E3590B">
        <w:rPr>
          <w:spacing w:val="20"/>
          <w:sz w:val="22"/>
          <w:szCs w:val="22"/>
        </w:rPr>
        <w:t xml:space="preserve">Artículo 245º de la </w:t>
      </w:r>
      <w:r w:rsidR="003B5128" w:rsidRPr="00E3590B">
        <w:rPr>
          <w:spacing w:val="20"/>
          <w:sz w:val="22"/>
          <w:szCs w:val="22"/>
        </w:rPr>
        <w:t>CONSTITUCIÓN PROVINCIAL establece que la distribución secundaria, se efectuará</w:t>
      </w:r>
      <w:r w:rsidR="00BC0D68" w:rsidRPr="00E3590B">
        <w:rPr>
          <w:spacing w:val="20"/>
          <w:sz w:val="22"/>
          <w:szCs w:val="22"/>
        </w:rPr>
        <w:t xml:space="preserve"> teniendo en cuenta criterios objetivos de reparto que contemplen los principios de proporcionalidad y redistribución solidaria, mediante aplicación de indicadores devolutivos, redistributivos y de eficiencia fiscal.</w:t>
      </w:r>
    </w:p>
    <w:p w14:paraId="78E60843" w14:textId="77777777" w:rsidR="00E3590B" w:rsidRPr="00E3590B" w:rsidRDefault="00E3590B" w:rsidP="00E3590B">
      <w:pPr>
        <w:pStyle w:val="Default"/>
        <w:tabs>
          <w:tab w:val="left" w:pos="3119"/>
        </w:tabs>
        <w:spacing w:line="288" w:lineRule="auto"/>
        <w:jc w:val="both"/>
        <w:rPr>
          <w:spacing w:val="20"/>
          <w:sz w:val="22"/>
          <w:szCs w:val="22"/>
        </w:rPr>
      </w:pPr>
    </w:p>
    <w:p w14:paraId="2BD7E2CF" w14:textId="77777777" w:rsidR="00D76613" w:rsidRPr="00E3590B" w:rsidRDefault="00BC0D68" w:rsidP="00E3590B">
      <w:pPr>
        <w:pStyle w:val="Default"/>
        <w:tabs>
          <w:tab w:val="left" w:pos="3119"/>
        </w:tabs>
        <w:spacing w:line="288" w:lineRule="auto"/>
        <w:jc w:val="both"/>
        <w:rPr>
          <w:spacing w:val="20"/>
          <w:sz w:val="22"/>
          <w:szCs w:val="22"/>
        </w:rPr>
      </w:pPr>
      <w:r w:rsidRPr="00E3590B">
        <w:rPr>
          <w:spacing w:val="20"/>
          <w:sz w:val="22"/>
          <w:szCs w:val="22"/>
        </w:rPr>
        <w:tab/>
      </w:r>
      <w:r w:rsidR="008D4D81" w:rsidRPr="00E3590B">
        <w:rPr>
          <w:spacing w:val="20"/>
          <w:sz w:val="22"/>
          <w:szCs w:val="22"/>
        </w:rPr>
        <w:t xml:space="preserve">Por su parte, </w:t>
      </w:r>
      <w:r w:rsidR="00D76613" w:rsidRPr="00E3590B">
        <w:rPr>
          <w:spacing w:val="20"/>
          <w:sz w:val="22"/>
          <w:szCs w:val="22"/>
        </w:rPr>
        <w:t>La Ley N° 10.644 de Régimen Comunal, mediante el artículo 34º inciso b) dispone entre los recursos económicos de las Comunas, las coparticipaciones provinciales y nacionales de acuerdo a lo prescripto en la CONSTITUCIÓN PROVINCIAL en su artículo 246º, pero nada dice sobre la Distribución Secundaria de la Coparticipación entre las Comunas de la Provincia.</w:t>
      </w:r>
    </w:p>
    <w:p w14:paraId="1424EB67" w14:textId="77777777" w:rsidR="00E3590B" w:rsidRPr="00E3590B" w:rsidRDefault="00E3590B" w:rsidP="00E3590B">
      <w:pPr>
        <w:pStyle w:val="Default"/>
        <w:tabs>
          <w:tab w:val="left" w:pos="3119"/>
        </w:tabs>
        <w:spacing w:line="288" w:lineRule="auto"/>
        <w:jc w:val="both"/>
        <w:rPr>
          <w:spacing w:val="20"/>
          <w:sz w:val="22"/>
          <w:szCs w:val="22"/>
        </w:rPr>
      </w:pPr>
    </w:p>
    <w:p w14:paraId="67679DD7" w14:textId="77777777" w:rsidR="00C16BCA" w:rsidRPr="00E3590B" w:rsidRDefault="008D4D81" w:rsidP="00E3590B">
      <w:pPr>
        <w:pStyle w:val="Default"/>
        <w:tabs>
          <w:tab w:val="left" w:pos="3119"/>
        </w:tabs>
        <w:spacing w:line="288" w:lineRule="auto"/>
        <w:jc w:val="both"/>
        <w:rPr>
          <w:spacing w:val="20"/>
          <w:sz w:val="22"/>
          <w:szCs w:val="22"/>
        </w:rPr>
      </w:pPr>
      <w:r w:rsidRPr="00E3590B">
        <w:rPr>
          <w:spacing w:val="20"/>
          <w:sz w:val="22"/>
          <w:szCs w:val="22"/>
        </w:rPr>
        <w:tab/>
      </w:r>
      <w:r w:rsidR="00C16BCA" w:rsidRPr="00E3590B">
        <w:rPr>
          <w:spacing w:val="20"/>
          <w:sz w:val="22"/>
          <w:szCs w:val="22"/>
        </w:rPr>
        <w:t>A partir del Decreto N° 110/19 MGJ, el Poder Ejecutivo declara, ad referéndum del Poder Legislativo, 55 Comunas a partir del 11 de diciembre de 2019, con todas las competencias, funciones, derechos y obligaciones de las disposiciones legales vigentes – Ley N° 10.644. Posteriormente, el Decreto Nº 248/19 MGJ, excluye a 2 Gobiernos Locales, resultando finalmente 53 Comunas (34 de Primera Categoría y 19 de Segunda Categoría).</w:t>
      </w:r>
    </w:p>
    <w:p w14:paraId="0D1F2FA1" w14:textId="77777777" w:rsidR="00E92EF3" w:rsidRPr="00E3590B" w:rsidRDefault="00E92EF3" w:rsidP="00E3590B">
      <w:pPr>
        <w:pStyle w:val="Default"/>
        <w:tabs>
          <w:tab w:val="left" w:pos="3119"/>
        </w:tabs>
        <w:spacing w:line="288" w:lineRule="auto"/>
        <w:jc w:val="both"/>
        <w:rPr>
          <w:spacing w:val="20"/>
          <w:sz w:val="22"/>
          <w:szCs w:val="22"/>
        </w:rPr>
      </w:pPr>
    </w:p>
    <w:p w14:paraId="0072E3E5" w14:textId="77777777" w:rsidR="00D76613" w:rsidRPr="00E3590B" w:rsidRDefault="00C16BCA" w:rsidP="00E3590B">
      <w:pPr>
        <w:pStyle w:val="Default"/>
        <w:tabs>
          <w:tab w:val="left" w:pos="3119"/>
        </w:tabs>
        <w:spacing w:line="288" w:lineRule="auto"/>
        <w:jc w:val="both"/>
        <w:rPr>
          <w:spacing w:val="20"/>
          <w:sz w:val="22"/>
          <w:szCs w:val="22"/>
        </w:rPr>
      </w:pPr>
      <w:r w:rsidRPr="00E3590B">
        <w:rPr>
          <w:spacing w:val="20"/>
          <w:sz w:val="22"/>
          <w:szCs w:val="22"/>
        </w:rPr>
        <w:tab/>
      </w:r>
      <w:r w:rsidR="008D4D81" w:rsidRPr="00E3590B">
        <w:rPr>
          <w:spacing w:val="20"/>
          <w:sz w:val="22"/>
          <w:szCs w:val="22"/>
        </w:rPr>
        <w:t xml:space="preserve">El </w:t>
      </w:r>
      <w:r w:rsidR="00D76613" w:rsidRPr="00E3590B">
        <w:rPr>
          <w:spacing w:val="20"/>
          <w:sz w:val="22"/>
          <w:szCs w:val="22"/>
        </w:rPr>
        <w:t xml:space="preserve">Proyecto de Ley de Régimen </w:t>
      </w:r>
      <w:r w:rsidR="00F62C17" w:rsidRPr="00E3590B">
        <w:rPr>
          <w:spacing w:val="20"/>
          <w:sz w:val="22"/>
          <w:szCs w:val="22"/>
        </w:rPr>
        <w:t xml:space="preserve">Provincial </w:t>
      </w:r>
      <w:r w:rsidR="00D76613" w:rsidRPr="00E3590B">
        <w:rPr>
          <w:spacing w:val="20"/>
          <w:sz w:val="22"/>
          <w:szCs w:val="22"/>
        </w:rPr>
        <w:t>de Coparticipación de Impuestos Nacionales y Provinciales para las Comunas, contiene la fórmula polinómica para llevar adelante la distribución secundaria de coparticipación, sus componentes, las fuentes de los datos a utilizar, la periodicidad de actualización de los indicadores, los procedimientos de liquidación y transferencia de los fondos, organismos encargados de estas tareas, entre otras particularidades.</w:t>
      </w:r>
    </w:p>
    <w:p w14:paraId="529D88B4" w14:textId="77777777" w:rsidR="00E92EF3" w:rsidRPr="00E3590B" w:rsidRDefault="00E92EF3" w:rsidP="00E3590B">
      <w:pPr>
        <w:pStyle w:val="Default"/>
        <w:tabs>
          <w:tab w:val="left" w:pos="3119"/>
        </w:tabs>
        <w:spacing w:line="288" w:lineRule="auto"/>
        <w:jc w:val="both"/>
        <w:rPr>
          <w:spacing w:val="20"/>
          <w:sz w:val="22"/>
          <w:szCs w:val="22"/>
        </w:rPr>
      </w:pPr>
    </w:p>
    <w:p w14:paraId="00924A4C" w14:textId="77777777" w:rsidR="00C16BCA" w:rsidRPr="00E3590B" w:rsidRDefault="008D4D81"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t xml:space="preserve">Para la </w:t>
      </w:r>
      <w:r w:rsidR="00C16BCA" w:rsidRPr="00E3590B">
        <w:rPr>
          <w:color w:val="auto"/>
          <w:spacing w:val="20"/>
          <w:sz w:val="22"/>
          <w:szCs w:val="22"/>
        </w:rPr>
        <w:t>elaboración de la fórmula polinómica de distribución secundaria de Coparticipación a Comunas</w:t>
      </w:r>
      <w:r w:rsidRPr="00E3590B">
        <w:rPr>
          <w:color w:val="auto"/>
          <w:spacing w:val="20"/>
          <w:sz w:val="22"/>
          <w:szCs w:val="22"/>
        </w:rPr>
        <w:t>, se ha</w:t>
      </w:r>
      <w:r w:rsidR="00B02B34" w:rsidRPr="00E3590B">
        <w:rPr>
          <w:color w:val="auto"/>
          <w:spacing w:val="20"/>
          <w:sz w:val="22"/>
          <w:szCs w:val="22"/>
        </w:rPr>
        <w:t xml:space="preserve"> propuesto utilizar un único índice, compuesto por tres indicadores: Partes Iguales, Electores y la Inversa de Hogares con Necesidades Básicas Insatisfechas.</w:t>
      </w:r>
      <w:r w:rsidRPr="00E3590B">
        <w:rPr>
          <w:color w:val="auto"/>
          <w:spacing w:val="20"/>
          <w:sz w:val="22"/>
          <w:szCs w:val="22"/>
        </w:rPr>
        <w:t xml:space="preserve"> </w:t>
      </w:r>
    </w:p>
    <w:p w14:paraId="0738E994" w14:textId="77777777" w:rsidR="00E92EF3" w:rsidRPr="00E3590B" w:rsidRDefault="00E92EF3" w:rsidP="00E3590B">
      <w:pPr>
        <w:pStyle w:val="Default"/>
        <w:tabs>
          <w:tab w:val="left" w:pos="3119"/>
        </w:tabs>
        <w:spacing w:line="288" w:lineRule="auto"/>
        <w:jc w:val="both"/>
        <w:rPr>
          <w:color w:val="auto"/>
          <w:spacing w:val="20"/>
          <w:sz w:val="22"/>
          <w:szCs w:val="22"/>
        </w:rPr>
      </w:pPr>
    </w:p>
    <w:p w14:paraId="2D658D70" w14:textId="77777777" w:rsidR="00055D4F" w:rsidRPr="00E3590B" w:rsidRDefault="00A25D52"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t xml:space="preserve">Partes Iguales se trataría de un indicador redistributivo, fijando un piso mínimo a todas las Comunas, cualquiera sea el tamaño, situación económica o social de las mismas, otorgándole una ponderación del 20% </w:t>
      </w:r>
      <w:r w:rsidR="00A4050D" w:rsidRPr="00E3590B">
        <w:rPr>
          <w:color w:val="auto"/>
          <w:spacing w:val="20"/>
          <w:sz w:val="22"/>
          <w:szCs w:val="22"/>
        </w:rPr>
        <w:t>para evitar la generación de distorsiones en la distribución de los recursos como sucede en los Municipios, donde el porcentaje otorgado es superior.</w:t>
      </w:r>
      <w:r w:rsidR="00007C63" w:rsidRPr="00E3590B">
        <w:rPr>
          <w:color w:val="auto"/>
          <w:spacing w:val="20"/>
          <w:sz w:val="22"/>
          <w:szCs w:val="22"/>
        </w:rPr>
        <w:t xml:space="preserve"> </w:t>
      </w:r>
      <w:r w:rsidR="00055D4F" w:rsidRPr="00E3590B">
        <w:rPr>
          <w:color w:val="auto"/>
          <w:spacing w:val="20"/>
          <w:sz w:val="22"/>
          <w:szCs w:val="22"/>
        </w:rPr>
        <w:t xml:space="preserve">Este </w:t>
      </w:r>
      <w:r w:rsidR="00007C63" w:rsidRPr="00E3590B">
        <w:rPr>
          <w:color w:val="auto"/>
          <w:spacing w:val="20"/>
          <w:sz w:val="22"/>
          <w:szCs w:val="22"/>
        </w:rPr>
        <w:t>20%</w:t>
      </w:r>
      <w:r w:rsidR="00055D4F" w:rsidRPr="00E3590B">
        <w:rPr>
          <w:color w:val="auto"/>
          <w:spacing w:val="20"/>
          <w:sz w:val="22"/>
          <w:szCs w:val="22"/>
        </w:rPr>
        <w:t xml:space="preserve"> se distribuye en partes iguales entre tod</w:t>
      </w:r>
      <w:r w:rsidR="009C40FF" w:rsidRPr="00E3590B">
        <w:rPr>
          <w:color w:val="auto"/>
          <w:spacing w:val="20"/>
          <w:sz w:val="22"/>
          <w:szCs w:val="22"/>
        </w:rPr>
        <w:t xml:space="preserve">as las Comunas </w:t>
      </w:r>
      <w:r w:rsidR="00055D4F" w:rsidRPr="00E3590B">
        <w:rPr>
          <w:color w:val="auto"/>
          <w:spacing w:val="20"/>
          <w:sz w:val="22"/>
          <w:szCs w:val="22"/>
        </w:rPr>
        <w:t>existentes a la fecha</w:t>
      </w:r>
      <w:r w:rsidR="009C40FF" w:rsidRPr="00E3590B">
        <w:rPr>
          <w:color w:val="auto"/>
          <w:spacing w:val="20"/>
          <w:sz w:val="22"/>
          <w:szCs w:val="22"/>
        </w:rPr>
        <w:t xml:space="preserve"> de elaboración de los porcentuales.</w:t>
      </w:r>
      <w:r w:rsidR="00055D4F" w:rsidRPr="00E3590B">
        <w:rPr>
          <w:color w:val="auto"/>
          <w:spacing w:val="20"/>
          <w:sz w:val="22"/>
          <w:szCs w:val="22"/>
        </w:rPr>
        <w:t xml:space="preserve"> </w:t>
      </w:r>
    </w:p>
    <w:p w14:paraId="2BEFC948" w14:textId="77777777" w:rsidR="00E92EF3" w:rsidRPr="00E3590B" w:rsidRDefault="00E92EF3" w:rsidP="00E3590B">
      <w:pPr>
        <w:pStyle w:val="Default"/>
        <w:tabs>
          <w:tab w:val="left" w:pos="3119"/>
        </w:tabs>
        <w:spacing w:line="288" w:lineRule="auto"/>
        <w:jc w:val="both"/>
        <w:rPr>
          <w:color w:val="auto"/>
          <w:spacing w:val="20"/>
          <w:sz w:val="22"/>
          <w:szCs w:val="22"/>
        </w:rPr>
      </w:pPr>
    </w:p>
    <w:p w14:paraId="2909AB35" w14:textId="77777777" w:rsidR="00055D4F" w:rsidRPr="00E3590B" w:rsidRDefault="00007C63"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r>
      <w:r w:rsidR="00055D4F" w:rsidRPr="00E3590B">
        <w:rPr>
          <w:color w:val="auto"/>
          <w:spacing w:val="20"/>
          <w:sz w:val="22"/>
          <w:szCs w:val="22"/>
        </w:rPr>
        <w:t xml:space="preserve">Electores </w:t>
      </w:r>
      <w:r w:rsidRPr="00E3590B">
        <w:rPr>
          <w:color w:val="auto"/>
          <w:spacing w:val="20"/>
          <w:sz w:val="22"/>
          <w:szCs w:val="22"/>
        </w:rPr>
        <w:t xml:space="preserve">se considera como un indicador Devolutivo, en cuanto a que la recaudación de impuestos </w:t>
      </w:r>
      <w:r w:rsidR="00F04B2C" w:rsidRPr="00E3590B">
        <w:rPr>
          <w:color w:val="auto"/>
          <w:spacing w:val="20"/>
          <w:sz w:val="22"/>
          <w:szCs w:val="22"/>
        </w:rPr>
        <w:t xml:space="preserve">al consumo </w:t>
      </w:r>
      <w:r w:rsidRPr="00E3590B">
        <w:rPr>
          <w:color w:val="auto"/>
          <w:spacing w:val="20"/>
          <w:sz w:val="22"/>
          <w:szCs w:val="22"/>
        </w:rPr>
        <w:t xml:space="preserve">nacionales (ej. IVA) y provinciales (ej. IIBB) tendría una correspondencia con la cantidad de electores de cada </w:t>
      </w:r>
      <w:r w:rsidR="009C40FF" w:rsidRPr="00E3590B">
        <w:rPr>
          <w:color w:val="auto"/>
          <w:spacing w:val="20"/>
          <w:sz w:val="22"/>
          <w:szCs w:val="22"/>
        </w:rPr>
        <w:t>Comuna</w:t>
      </w:r>
      <w:r w:rsidR="00B055D2" w:rsidRPr="00E3590B">
        <w:rPr>
          <w:color w:val="auto"/>
          <w:spacing w:val="20"/>
          <w:sz w:val="22"/>
          <w:szCs w:val="22"/>
        </w:rPr>
        <w:t>. El dato se puede extraer del</w:t>
      </w:r>
      <w:r w:rsidR="00055D4F" w:rsidRPr="00E3590B">
        <w:rPr>
          <w:color w:val="auto"/>
          <w:spacing w:val="20"/>
          <w:sz w:val="22"/>
          <w:szCs w:val="22"/>
        </w:rPr>
        <w:t xml:space="preserve"> Padrón Oficial proveniente del Tribunal Electoral de la Provincia de Entre Ríos. </w:t>
      </w:r>
      <w:r w:rsidR="00D63ED4" w:rsidRPr="00E3590B">
        <w:rPr>
          <w:color w:val="auto"/>
          <w:spacing w:val="20"/>
          <w:sz w:val="22"/>
          <w:szCs w:val="22"/>
        </w:rPr>
        <w:t xml:space="preserve">Este indicador recibe una ponderación del 60% y se actualiza </w:t>
      </w:r>
      <w:r w:rsidR="00F04B2C" w:rsidRPr="00E3590B">
        <w:rPr>
          <w:color w:val="auto"/>
          <w:spacing w:val="20"/>
          <w:sz w:val="22"/>
          <w:szCs w:val="22"/>
        </w:rPr>
        <w:t>más frecuentemente que el dato población que proviene del último censo nacional</w:t>
      </w:r>
      <w:r w:rsidR="00D63ED4" w:rsidRPr="00E3590B">
        <w:rPr>
          <w:color w:val="auto"/>
          <w:spacing w:val="20"/>
          <w:sz w:val="22"/>
          <w:szCs w:val="22"/>
        </w:rPr>
        <w:t>, por lo que se sugiere tomar el último Padrón Oficial Disponible</w:t>
      </w:r>
      <w:r w:rsidR="00F04B2C" w:rsidRPr="00E3590B">
        <w:rPr>
          <w:color w:val="auto"/>
          <w:spacing w:val="20"/>
          <w:sz w:val="22"/>
          <w:szCs w:val="22"/>
        </w:rPr>
        <w:t xml:space="preserve"> para obtener el dato </w:t>
      </w:r>
      <w:r w:rsidR="009069FE" w:rsidRPr="00E3590B">
        <w:rPr>
          <w:color w:val="auto"/>
          <w:spacing w:val="20"/>
          <w:sz w:val="22"/>
          <w:szCs w:val="22"/>
        </w:rPr>
        <w:t>“</w:t>
      </w:r>
      <w:r w:rsidR="00F04B2C" w:rsidRPr="00E3590B">
        <w:rPr>
          <w:color w:val="auto"/>
          <w:spacing w:val="20"/>
          <w:sz w:val="22"/>
          <w:szCs w:val="22"/>
        </w:rPr>
        <w:t>electores</w:t>
      </w:r>
      <w:r w:rsidR="009069FE" w:rsidRPr="00E3590B">
        <w:rPr>
          <w:color w:val="auto"/>
          <w:spacing w:val="20"/>
          <w:sz w:val="22"/>
          <w:szCs w:val="22"/>
        </w:rPr>
        <w:t>”</w:t>
      </w:r>
      <w:r w:rsidR="00D63ED4" w:rsidRPr="00E3590B">
        <w:rPr>
          <w:color w:val="auto"/>
          <w:spacing w:val="20"/>
          <w:sz w:val="22"/>
          <w:szCs w:val="22"/>
        </w:rPr>
        <w:t>.</w:t>
      </w:r>
    </w:p>
    <w:p w14:paraId="72F9DC7E" w14:textId="77777777" w:rsidR="00E92EF3" w:rsidRPr="00E3590B" w:rsidRDefault="00E92EF3" w:rsidP="00E3590B">
      <w:pPr>
        <w:pStyle w:val="Default"/>
        <w:tabs>
          <w:tab w:val="left" w:pos="3119"/>
        </w:tabs>
        <w:spacing w:line="288" w:lineRule="auto"/>
        <w:jc w:val="both"/>
        <w:rPr>
          <w:color w:val="auto"/>
          <w:spacing w:val="20"/>
          <w:sz w:val="22"/>
          <w:szCs w:val="22"/>
        </w:rPr>
      </w:pPr>
    </w:p>
    <w:p w14:paraId="768CB3DC" w14:textId="77777777" w:rsidR="00055D4F" w:rsidRPr="00E3590B" w:rsidRDefault="000B1725"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r>
      <w:r w:rsidR="00D63ED4" w:rsidRPr="00E3590B">
        <w:rPr>
          <w:color w:val="auto"/>
          <w:spacing w:val="20"/>
          <w:sz w:val="22"/>
          <w:szCs w:val="22"/>
        </w:rPr>
        <w:t>Con l</w:t>
      </w:r>
      <w:r w:rsidRPr="00E3590B">
        <w:rPr>
          <w:color w:val="auto"/>
          <w:spacing w:val="20"/>
          <w:sz w:val="22"/>
          <w:szCs w:val="22"/>
        </w:rPr>
        <w:t xml:space="preserve">a </w:t>
      </w:r>
      <w:r w:rsidR="00055D4F" w:rsidRPr="00E3590B">
        <w:rPr>
          <w:color w:val="auto"/>
          <w:spacing w:val="20"/>
          <w:sz w:val="22"/>
          <w:szCs w:val="22"/>
        </w:rPr>
        <w:t>Inversa de Hogares con Ne</w:t>
      </w:r>
      <w:r w:rsidRPr="00E3590B">
        <w:rPr>
          <w:color w:val="auto"/>
          <w:spacing w:val="20"/>
          <w:sz w:val="22"/>
          <w:szCs w:val="22"/>
        </w:rPr>
        <w:t xml:space="preserve">cesidades Básicas Insatisfechas, </w:t>
      </w:r>
      <w:r w:rsidR="00D63ED4" w:rsidRPr="00E3590B">
        <w:rPr>
          <w:color w:val="auto"/>
          <w:spacing w:val="20"/>
          <w:sz w:val="22"/>
          <w:szCs w:val="22"/>
        </w:rPr>
        <w:t>se busca incentivar políticas públicas tendientes a erradicar la pobreza, mejorando la eficiencia en la gestión de los recursos y en la realización de los gastos. De esta manera, estaríamos en presencia de un Indicador de eficiencia fiscal.</w:t>
      </w:r>
      <w:r w:rsidR="00CF6DC9" w:rsidRPr="00E3590B">
        <w:rPr>
          <w:color w:val="auto"/>
          <w:spacing w:val="20"/>
          <w:sz w:val="22"/>
          <w:szCs w:val="22"/>
        </w:rPr>
        <w:t xml:space="preserve"> </w:t>
      </w:r>
      <w:r w:rsidR="00055D4F" w:rsidRPr="00E3590B">
        <w:rPr>
          <w:color w:val="auto"/>
          <w:spacing w:val="20"/>
          <w:sz w:val="22"/>
          <w:szCs w:val="22"/>
        </w:rPr>
        <w:t>El cálculo del mismo se obtiene como el cociente de uno (1) sobre la cantidad de Hogares con Necesidades Básicas Insatisfechas de cada Comuna, de acuerdo a los datos oficiales provenientes del último Ce</w:t>
      </w:r>
      <w:r w:rsidR="00CF6DC9" w:rsidRPr="00E3590B">
        <w:rPr>
          <w:color w:val="auto"/>
          <w:spacing w:val="20"/>
          <w:sz w:val="22"/>
          <w:szCs w:val="22"/>
        </w:rPr>
        <w:t>nso Nacional disponible (INDEC)</w:t>
      </w:r>
      <w:r w:rsidR="00055D4F" w:rsidRPr="00E3590B">
        <w:rPr>
          <w:color w:val="auto"/>
          <w:spacing w:val="20"/>
          <w:sz w:val="22"/>
          <w:szCs w:val="22"/>
        </w:rPr>
        <w:t xml:space="preserve">. Luego, se le otorga </w:t>
      </w:r>
      <w:r w:rsidR="00CF6DC9" w:rsidRPr="00E3590B">
        <w:rPr>
          <w:color w:val="auto"/>
          <w:spacing w:val="20"/>
          <w:sz w:val="22"/>
          <w:szCs w:val="22"/>
        </w:rPr>
        <w:t>una</w:t>
      </w:r>
      <w:r w:rsidR="00055D4F" w:rsidRPr="00E3590B">
        <w:rPr>
          <w:color w:val="auto"/>
          <w:spacing w:val="20"/>
          <w:sz w:val="22"/>
          <w:szCs w:val="22"/>
        </w:rPr>
        <w:t xml:space="preserve"> ponderación de</w:t>
      </w:r>
      <w:r w:rsidR="00CF6DC9" w:rsidRPr="00E3590B">
        <w:rPr>
          <w:color w:val="auto"/>
          <w:spacing w:val="20"/>
          <w:sz w:val="22"/>
          <w:szCs w:val="22"/>
        </w:rPr>
        <w:t xml:space="preserve">l </w:t>
      </w:r>
      <w:r w:rsidR="00055D4F" w:rsidRPr="00E3590B">
        <w:rPr>
          <w:color w:val="auto"/>
          <w:spacing w:val="20"/>
          <w:sz w:val="22"/>
          <w:szCs w:val="22"/>
        </w:rPr>
        <w:t>20%</w:t>
      </w:r>
      <w:r w:rsidR="00CF6DC9" w:rsidRPr="00E3590B">
        <w:rPr>
          <w:color w:val="auto"/>
          <w:spacing w:val="20"/>
          <w:sz w:val="22"/>
          <w:szCs w:val="22"/>
        </w:rPr>
        <w:t>.</w:t>
      </w:r>
      <w:r w:rsidR="009229C2" w:rsidRPr="00E3590B">
        <w:rPr>
          <w:color w:val="auto"/>
          <w:spacing w:val="20"/>
          <w:sz w:val="22"/>
          <w:szCs w:val="22"/>
        </w:rPr>
        <w:t xml:space="preserve"> </w:t>
      </w:r>
      <w:r w:rsidR="00055D4F" w:rsidRPr="00E3590B">
        <w:rPr>
          <w:color w:val="auto"/>
          <w:spacing w:val="20"/>
          <w:sz w:val="22"/>
          <w:szCs w:val="22"/>
        </w:rPr>
        <w:t>De esta forma, m</w:t>
      </w:r>
      <w:r w:rsidR="009C40FF" w:rsidRPr="00E3590B">
        <w:rPr>
          <w:color w:val="auto"/>
          <w:spacing w:val="20"/>
          <w:sz w:val="22"/>
          <w:szCs w:val="22"/>
        </w:rPr>
        <w:t>ejoraría el índice de aquellas C</w:t>
      </w:r>
      <w:r w:rsidR="00055D4F" w:rsidRPr="00E3590B">
        <w:rPr>
          <w:color w:val="auto"/>
          <w:spacing w:val="20"/>
          <w:sz w:val="22"/>
          <w:szCs w:val="22"/>
        </w:rPr>
        <w:t xml:space="preserve">omunas que empleen políticas para disminuir en su jurisdicción los Hogares con Necesidades Básicas Insatisfechas. </w:t>
      </w:r>
    </w:p>
    <w:p w14:paraId="0EDCFEAE" w14:textId="77777777" w:rsidR="00E92EF3" w:rsidRPr="00E3590B" w:rsidRDefault="00E92EF3" w:rsidP="00E3590B">
      <w:pPr>
        <w:pStyle w:val="Default"/>
        <w:tabs>
          <w:tab w:val="left" w:pos="3119"/>
        </w:tabs>
        <w:spacing w:line="288" w:lineRule="auto"/>
        <w:jc w:val="both"/>
        <w:rPr>
          <w:color w:val="auto"/>
          <w:spacing w:val="20"/>
          <w:sz w:val="22"/>
          <w:szCs w:val="22"/>
        </w:rPr>
      </w:pPr>
    </w:p>
    <w:p w14:paraId="4F230126" w14:textId="77777777" w:rsidR="00F04B2C" w:rsidRPr="00E3590B" w:rsidRDefault="00055D4F"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t xml:space="preserve">Con estos indicadores, se estaría cumpliendo con las disposiciones del Artículo 245º de la </w:t>
      </w:r>
      <w:r w:rsidR="003B5128" w:rsidRPr="00E3590B">
        <w:rPr>
          <w:color w:val="auto"/>
          <w:spacing w:val="20"/>
          <w:sz w:val="22"/>
          <w:szCs w:val="22"/>
        </w:rPr>
        <w:t>CONSTITUCIÓN PROVINCIAL</w:t>
      </w:r>
      <w:r w:rsidRPr="00E3590B">
        <w:rPr>
          <w:color w:val="auto"/>
          <w:spacing w:val="20"/>
          <w:sz w:val="22"/>
          <w:szCs w:val="22"/>
        </w:rPr>
        <w:t xml:space="preserve">, en </w:t>
      </w:r>
      <w:r w:rsidR="00C54984" w:rsidRPr="00E3590B">
        <w:rPr>
          <w:color w:val="auto"/>
          <w:spacing w:val="20"/>
          <w:sz w:val="22"/>
          <w:szCs w:val="22"/>
        </w:rPr>
        <w:t xml:space="preserve">cuanto </w:t>
      </w:r>
      <w:r w:rsidR="003B5128" w:rsidRPr="00E3590B">
        <w:rPr>
          <w:color w:val="auto"/>
          <w:spacing w:val="20"/>
          <w:sz w:val="22"/>
          <w:szCs w:val="22"/>
        </w:rPr>
        <w:t xml:space="preserve">a </w:t>
      </w:r>
      <w:r w:rsidR="00C54984" w:rsidRPr="00E3590B">
        <w:rPr>
          <w:color w:val="auto"/>
          <w:spacing w:val="20"/>
          <w:sz w:val="22"/>
          <w:szCs w:val="22"/>
        </w:rPr>
        <w:t>l</w:t>
      </w:r>
      <w:r w:rsidR="003B5128" w:rsidRPr="00E3590B">
        <w:rPr>
          <w:color w:val="auto"/>
          <w:spacing w:val="20"/>
          <w:sz w:val="22"/>
          <w:szCs w:val="22"/>
        </w:rPr>
        <w:t>as</w:t>
      </w:r>
      <w:r w:rsidRPr="00E3590B">
        <w:rPr>
          <w:color w:val="auto"/>
          <w:spacing w:val="20"/>
          <w:sz w:val="22"/>
          <w:szCs w:val="22"/>
        </w:rPr>
        <w:t xml:space="preserve"> </w:t>
      </w:r>
      <w:r w:rsidR="001E71DE" w:rsidRPr="00E3590B">
        <w:rPr>
          <w:color w:val="auto"/>
          <w:spacing w:val="20"/>
          <w:sz w:val="22"/>
          <w:szCs w:val="22"/>
        </w:rPr>
        <w:t>características de los indicadores empleados, teniendo en cuenta criterios objetivos de reparto.</w:t>
      </w:r>
    </w:p>
    <w:p w14:paraId="0CEFE187" w14:textId="77777777" w:rsidR="00E92EF3" w:rsidRPr="00E3590B" w:rsidRDefault="00E92EF3" w:rsidP="00E3590B">
      <w:pPr>
        <w:pStyle w:val="Default"/>
        <w:tabs>
          <w:tab w:val="left" w:pos="3119"/>
        </w:tabs>
        <w:spacing w:line="288" w:lineRule="auto"/>
        <w:jc w:val="both"/>
        <w:rPr>
          <w:color w:val="auto"/>
          <w:spacing w:val="20"/>
          <w:sz w:val="22"/>
          <w:szCs w:val="22"/>
        </w:rPr>
      </w:pPr>
    </w:p>
    <w:p w14:paraId="69ABBFE6" w14:textId="77777777" w:rsidR="001E71DE" w:rsidRPr="00E3590B" w:rsidRDefault="001E71DE" w:rsidP="00E3590B">
      <w:pPr>
        <w:pStyle w:val="Default"/>
        <w:tabs>
          <w:tab w:val="left" w:pos="3119"/>
        </w:tabs>
        <w:spacing w:line="288" w:lineRule="auto"/>
        <w:jc w:val="both"/>
        <w:rPr>
          <w:spacing w:val="20"/>
          <w:sz w:val="22"/>
          <w:szCs w:val="22"/>
        </w:rPr>
      </w:pPr>
      <w:r w:rsidRPr="00E3590B">
        <w:rPr>
          <w:color w:val="auto"/>
          <w:spacing w:val="20"/>
          <w:sz w:val="22"/>
          <w:szCs w:val="22"/>
        </w:rPr>
        <w:tab/>
        <w:t xml:space="preserve">Asimismo, mediante el </w:t>
      </w:r>
      <w:r w:rsidRPr="00E3590B">
        <w:rPr>
          <w:spacing w:val="20"/>
          <w:sz w:val="22"/>
          <w:szCs w:val="22"/>
        </w:rPr>
        <w:t xml:space="preserve">Proyecto de Ley de Régimen Provincial de Coparticipación de Impuestos Nacionales y Provinciales para las Comunas, se daría cumplimiento a lo establecido por los artículos 246° </w:t>
      </w:r>
      <w:r w:rsidR="00A16C03" w:rsidRPr="00E3590B">
        <w:rPr>
          <w:spacing w:val="20"/>
          <w:sz w:val="22"/>
          <w:szCs w:val="22"/>
        </w:rPr>
        <w:t>y 293° de la CONSTITUCIÓN PROVINCIAL, en cuanto a  garantizar un sistema de coparticipación impositiva obligatoria (Distribución Primaria) para los Gobiernos Locales de la Provincia, y reglamentar a través de una ley la implementación de la automaticidad de la remisión de fondos coparticipables, respectivamente.</w:t>
      </w:r>
    </w:p>
    <w:p w14:paraId="7CEDBBCF" w14:textId="77777777" w:rsidR="00E92EF3" w:rsidRPr="00E3590B" w:rsidRDefault="00E92EF3" w:rsidP="00E3590B">
      <w:pPr>
        <w:pStyle w:val="Default"/>
        <w:tabs>
          <w:tab w:val="left" w:pos="3119"/>
        </w:tabs>
        <w:spacing w:line="288" w:lineRule="auto"/>
        <w:jc w:val="both"/>
        <w:rPr>
          <w:color w:val="auto"/>
          <w:spacing w:val="20"/>
          <w:sz w:val="22"/>
          <w:szCs w:val="22"/>
        </w:rPr>
      </w:pPr>
    </w:p>
    <w:p w14:paraId="474AEB8F" w14:textId="77777777" w:rsidR="008D4D81" w:rsidRPr="00E3590B" w:rsidRDefault="008D4D81" w:rsidP="00E3590B">
      <w:pPr>
        <w:pStyle w:val="Default"/>
        <w:tabs>
          <w:tab w:val="left" w:pos="3119"/>
        </w:tabs>
        <w:spacing w:line="288" w:lineRule="auto"/>
        <w:jc w:val="both"/>
        <w:rPr>
          <w:color w:val="auto"/>
          <w:spacing w:val="20"/>
          <w:sz w:val="22"/>
          <w:szCs w:val="22"/>
        </w:rPr>
      </w:pPr>
      <w:r w:rsidRPr="00E3590B">
        <w:rPr>
          <w:color w:val="auto"/>
          <w:spacing w:val="20"/>
          <w:sz w:val="22"/>
          <w:szCs w:val="22"/>
        </w:rPr>
        <w:tab/>
        <w:t xml:space="preserve">Por todo esto, es que solicito tratamiento y sanción del proyecto de ley que se presenta. </w:t>
      </w:r>
    </w:p>
    <w:p w14:paraId="203BB46D" w14:textId="77777777" w:rsidR="00E92EF3" w:rsidRPr="00E3590B" w:rsidRDefault="00E92EF3" w:rsidP="00E3590B">
      <w:pPr>
        <w:pStyle w:val="Default"/>
        <w:tabs>
          <w:tab w:val="left" w:pos="3119"/>
        </w:tabs>
        <w:spacing w:line="288" w:lineRule="auto"/>
        <w:jc w:val="both"/>
        <w:rPr>
          <w:color w:val="auto"/>
          <w:spacing w:val="20"/>
          <w:sz w:val="22"/>
          <w:szCs w:val="22"/>
        </w:rPr>
      </w:pPr>
    </w:p>
    <w:p w14:paraId="2D858D85" w14:textId="77777777" w:rsidR="00D57095" w:rsidRPr="00E3590B" w:rsidRDefault="008D4D81" w:rsidP="00E3590B">
      <w:pPr>
        <w:tabs>
          <w:tab w:val="left" w:pos="3119"/>
        </w:tabs>
        <w:spacing w:after="0" w:line="288" w:lineRule="auto"/>
        <w:jc w:val="both"/>
        <w:rPr>
          <w:rFonts w:ascii="Century Gothic" w:hAnsi="Century Gothic" w:cs="Century Gothic"/>
          <w:spacing w:val="20"/>
        </w:rPr>
      </w:pPr>
      <w:r w:rsidRPr="00E3590B">
        <w:rPr>
          <w:rFonts w:ascii="Century Gothic" w:hAnsi="Century Gothic" w:cs="Century Gothic"/>
          <w:spacing w:val="20"/>
        </w:rPr>
        <w:tab/>
        <w:t>Dios guarde a V.H.</w:t>
      </w:r>
    </w:p>
    <w:p w14:paraId="7792EB93" w14:textId="77777777" w:rsidR="00184A27" w:rsidRPr="00E3590B" w:rsidRDefault="00184A27" w:rsidP="00E3590B">
      <w:pPr>
        <w:tabs>
          <w:tab w:val="left" w:pos="2835"/>
        </w:tabs>
        <w:spacing w:after="120" w:line="288" w:lineRule="auto"/>
        <w:jc w:val="both"/>
        <w:rPr>
          <w:rFonts w:ascii="Century Gothic" w:hAnsi="Century Gothic" w:cs="Century Gothic"/>
          <w:spacing w:val="20"/>
        </w:rPr>
      </w:pPr>
    </w:p>
    <w:p w14:paraId="5A645273" w14:textId="77777777" w:rsidR="00184A27" w:rsidRPr="00E3590B" w:rsidRDefault="00184A27" w:rsidP="00E3590B">
      <w:pPr>
        <w:tabs>
          <w:tab w:val="left" w:pos="2835"/>
        </w:tabs>
        <w:spacing w:after="120" w:line="288" w:lineRule="auto"/>
        <w:jc w:val="both"/>
        <w:rPr>
          <w:rFonts w:ascii="Century Gothic" w:hAnsi="Century Gothic" w:cs="Century Gothic"/>
          <w:spacing w:val="20"/>
        </w:rPr>
      </w:pPr>
      <w:r w:rsidRPr="00E3590B">
        <w:rPr>
          <w:rFonts w:ascii="Century Gothic" w:hAnsi="Century Gothic" w:cs="Century Gothic"/>
          <w:spacing w:val="20"/>
        </w:rPr>
        <w:br w:type="page"/>
      </w:r>
    </w:p>
    <w:p w14:paraId="55BBDCEB" w14:textId="77777777" w:rsidR="00184A27" w:rsidRPr="00E3590B" w:rsidRDefault="00184A27" w:rsidP="00E3590B">
      <w:pPr>
        <w:keepNext/>
        <w:widowControl w:val="0"/>
        <w:spacing w:after="0" w:line="288" w:lineRule="auto"/>
        <w:jc w:val="center"/>
        <w:outlineLvl w:val="7"/>
        <w:rPr>
          <w:rFonts w:ascii="Century Gothic" w:hAnsi="Century Gothic" w:cs="Arial"/>
          <w:b/>
          <w:spacing w:val="20"/>
        </w:rPr>
      </w:pPr>
      <w:r w:rsidRPr="00E3590B">
        <w:rPr>
          <w:rFonts w:ascii="Century Gothic" w:hAnsi="Century Gothic" w:cs="Arial"/>
          <w:b/>
          <w:spacing w:val="20"/>
        </w:rPr>
        <w:t>LA LEGISLATURA DE LA PROVINCIA DE ENTRE RIOS SANCIONA CON FUERZA DE</w:t>
      </w:r>
    </w:p>
    <w:p w14:paraId="231706BA" w14:textId="77777777" w:rsidR="00184A27" w:rsidRPr="00E3590B" w:rsidRDefault="00184A27" w:rsidP="00E3590B">
      <w:pPr>
        <w:widowControl w:val="0"/>
        <w:spacing w:after="0" w:line="288" w:lineRule="auto"/>
        <w:jc w:val="center"/>
        <w:rPr>
          <w:rFonts w:ascii="Century Gothic" w:hAnsi="Century Gothic" w:cs="Arial"/>
          <w:b/>
          <w:spacing w:val="20"/>
        </w:rPr>
      </w:pPr>
    </w:p>
    <w:p w14:paraId="4569E1DD" w14:textId="77777777" w:rsidR="00184A27" w:rsidRPr="00E3590B" w:rsidRDefault="00184A27" w:rsidP="00E3590B">
      <w:pPr>
        <w:widowControl w:val="0"/>
        <w:spacing w:after="0" w:line="288" w:lineRule="auto"/>
        <w:jc w:val="center"/>
        <w:rPr>
          <w:rFonts w:ascii="Century Gothic" w:hAnsi="Century Gothic" w:cs="Arial"/>
          <w:b/>
          <w:spacing w:val="20"/>
        </w:rPr>
      </w:pPr>
      <w:r w:rsidRPr="00E3590B">
        <w:rPr>
          <w:rFonts w:ascii="Century Gothic" w:hAnsi="Century Gothic" w:cs="Arial"/>
          <w:b/>
          <w:spacing w:val="20"/>
        </w:rPr>
        <w:t>LEY:</w:t>
      </w:r>
    </w:p>
    <w:p w14:paraId="0A0AC264" w14:textId="77777777" w:rsidR="00512417" w:rsidRPr="00E3590B" w:rsidRDefault="00512417" w:rsidP="00E3590B">
      <w:pPr>
        <w:widowControl w:val="0"/>
        <w:spacing w:after="0" w:line="288" w:lineRule="auto"/>
        <w:jc w:val="center"/>
        <w:rPr>
          <w:rFonts w:ascii="Century Gothic" w:hAnsi="Century Gothic" w:cs="Arial"/>
          <w:b/>
          <w:spacing w:val="20"/>
        </w:rPr>
      </w:pPr>
    </w:p>
    <w:p w14:paraId="59D02768"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hAnsi="Century Gothic" w:cs="Arial"/>
          <w:b/>
          <w:spacing w:val="20"/>
          <w:u w:val="single"/>
        </w:rPr>
        <w:t>ARTICULO 1º.-</w:t>
      </w:r>
      <w:r w:rsidRPr="00E3590B">
        <w:rPr>
          <w:rFonts w:ascii="Century Gothic" w:hAnsi="Century Gothic" w:cs="Arial"/>
          <w:b/>
          <w:spacing w:val="20"/>
        </w:rPr>
        <w:t xml:space="preserve"> </w:t>
      </w:r>
      <w:proofErr w:type="spellStart"/>
      <w:r w:rsidRPr="00E3590B">
        <w:rPr>
          <w:rFonts w:ascii="Century Gothic" w:eastAsia="Times New Roman" w:hAnsi="Century Gothic" w:cs="Times New Roman"/>
          <w:spacing w:val="20"/>
          <w:lang w:val="es-ES" w:eastAsia="es-ES"/>
        </w:rPr>
        <w:t>Establécese</w:t>
      </w:r>
      <w:proofErr w:type="spellEnd"/>
      <w:r w:rsidRPr="00E3590B">
        <w:rPr>
          <w:rFonts w:ascii="Century Gothic" w:eastAsia="Times New Roman" w:hAnsi="Century Gothic" w:cs="Times New Roman"/>
          <w:spacing w:val="20"/>
          <w:lang w:val="es-ES" w:eastAsia="es-ES"/>
        </w:rPr>
        <w:t xml:space="preserve"> el presente Régimen Provincial de Coparticipación de Impuestos Nacionales y Provinciales para las Comunas.</w:t>
      </w:r>
    </w:p>
    <w:p w14:paraId="218499A6"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p>
    <w:p w14:paraId="7707391D"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b/>
          <w:spacing w:val="20"/>
          <w:u w:val="single"/>
          <w:lang w:val="es-ES" w:eastAsia="es-ES"/>
        </w:rPr>
        <w:t>ARTICULO 2°.-</w:t>
      </w:r>
      <w:r w:rsidRPr="00E3590B">
        <w:rPr>
          <w:rFonts w:ascii="Century Gothic" w:eastAsia="Times New Roman" w:hAnsi="Century Gothic" w:cs="Times New Roman"/>
          <w:spacing w:val="20"/>
          <w:lang w:val="es-ES" w:eastAsia="es-ES"/>
        </w:rPr>
        <w:t xml:space="preserve"> El monto a distribuir entre las Comunas será equivalente al uno por ciento</w:t>
      </w:r>
      <w:r w:rsidR="00CF4F2A">
        <w:rPr>
          <w:rFonts w:ascii="Century Gothic" w:eastAsia="Times New Roman" w:hAnsi="Century Gothic" w:cs="Times New Roman"/>
          <w:spacing w:val="20"/>
          <w:lang w:val="es-ES" w:eastAsia="es-ES"/>
        </w:rPr>
        <w:t xml:space="preserve"> </w:t>
      </w:r>
      <w:r w:rsidR="00CF4F2A" w:rsidRPr="00E3590B">
        <w:rPr>
          <w:rFonts w:ascii="Century Gothic" w:eastAsia="Times New Roman" w:hAnsi="Century Gothic" w:cs="Times New Roman"/>
          <w:spacing w:val="20"/>
          <w:lang w:val="es-ES" w:eastAsia="es-ES"/>
        </w:rPr>
        <w:t>(1%)</w:t>
      </w:r>
      <w:r w:rsidRPr="00E3590B">
        <w:rPr>
          <w:rFonts w:ascii="Century Gothic" w:eastAsia="Times New Roman" w:hAnsi="Century Gothic" w:cs="Times New Roman"/>
          <w:spacing w:val="20"/>
          <w:lang w:val="es-ES" w:eastAsia="es-ES"/>
        </w:rPr>
        <w:t xml:space="preserve">, de la totalidad de los ingresos tributarios que a la Provincia le correspondan en concepto de coparticipación federal de impuestos nacionales, sea por régimen general y otro que lo complemente o sustituya y que no tengan afectación específica, y de la totalidad de la recaudación de los ingresos tributarios provinciales, conforme el </w:t>
      </w:r>
      <w:r w:rsidR="00CF4F2A">
        <w:rPr>
          <w:rFonts w:ascii="Century Gothic" w:eastAsia="Times New Roman" w:hAnsi="Century Gothic" w:cs="Times New Roman"/>
          <w:spacing w:val="20"/>
          <w:lang w:val="es-ES" w:eastAsia="es-ES"/>
        </w:rPr>
        <w:t>A</w:t>
      </w:r>
      <w:r w:rsidRPr="00E3590B">
        <w:rPr>
          <w:rFonts w:ascii="Century Gothic" w:eastAsia="Times New Roman" w:hAnsi="Century Gothic" w:cs="Times New Roman"/>
          <w:spacing w:val="20"/>
          <w:lang w:val="es-ES" w:eastAsia="es-ES"/>
        </w:rPr>
        <w:t>rtículo 246</w:t>
      </w:r>
      <w:r w:rsidR="00CF4F2A">
        <w:rPr>
          <w:rFonts w:ascii="Century Gothic" w:eastAsia="Times New Roman" w:hAnsi="Century Gothic" w:cs="Times New Roman"/>
          <w:spacing w:val="20"/>
          <w:lang w:val="es-ES" w:eastAsia="es-ES"/>
        </w:rPr>
        <w:t>°</w:t>
      </w:r>
      <w:r w:rsidRPr="00E3590B">
        <w:rPr>
          <w:rFonts w:ascii="Century Gothic" w:eastAsia="Times New Roman" w:hAnsi="Century Gothic" w:cs="Times New Roman"/>
          <w:spacing w:val="20"/>
          <w:lang w:val="es-ES" w:eastAsia="es-ES"/>
        </w:rPr>
        <w:t xml:space="preserve"> de la Constitución Provincial.</w:t>
      </w:r>
    </w:p>
    <w:p w14:paraId="6B26F622"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p>
    <w:p w14:paraId="50BD6612"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3°.-</w:t>
      </w:r>
      <w:r w:rsidRPr="00E3590B">
        <w:rPr>
          <w:rFonts w:ascii="Century Gothic" w:eastAsia="Times New Roman" w:hAnsi="Century Gothic" w:cs="Times New Roman"/>
          <w:color w:val="000000"/>
          <w:spacing w:val="20"/>
          <w:lang w:val="es-ES" w:eastAsia="es-ES"/>
        </w:rPr>
        <w:t xml:space="preserve"> A los efectos de realizar la distribución de los fondos, la Contaduría General de la Provincia efectuará la liquidación diaria y en forma provisoria de la Coparticipación a Comunas, sobre los conceptos que integran la masa coparticipable del Artículo </w:t>
      </w:r>
      <w:r w:rsidR="00FF782F" w:rsidRPr="00E3590B">
        <w:rPr>
          <w:rFonts w:ascii="Century Gothic" w:eastAsia="Times New Roman" w:hAnsi="Century Gothic" w:cs="Times New Roman"/>
          <w:color w:val="000000"/>
          <w:spacing w:val="20"/>
          <w:lang w:val="es-ES" w:eastAsia="es-ES"/>
        </w:rPr>
        <w:t>2</w:t>
      </w:r>
      <w:r w:rsidRPr="00E3590B">
        <w:rPr>
          <w:rFonts w:ascii="Century Gothic" w:eastAsia="Times New Roman" w:hAnsi="Century Gothic" w:cs="Times New Roman"/>
          <w:color w:val="000000"/>
          <w:spacing w:val="20"/>
          <w:lang w:val="es-ES" w:eastAsia="es-ES"/>
        </w:rPr>
        <w:t>º de la presente, a partir de los ingresos comunicados por la Tesorería General de la Provincia. Con la liquidación elaborada en virtud de lo precedente, la Tesorería General de la Provincia transferirá el día hábil siguiente a las cuentas bancarias que las Comunas indiquen.</w:t>
      </w:r>
    </w:p>
    <w:p w14:paraId="0D0193CA"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spacing w:val="20"/>
          <w:lang w:val="es-ES" w:eastAsia="es-ES"/>
        </w:rPr>
        <w:t>La Administradora Tributaria de Entre Ríos confeccionará un informe mensual definitivo, que remitirá a la Contaduría General, organismo que efectuará los ajustes que pudiera corresponder en las participaciones a las Comunas.</w:t>
      </w:r>
    </w:p>
    <w:p w14:paraId="108F584B"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p>
    <w:p w14:paraId="663AF9A7"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4°.-</w:t>
      </w:r>
      <w:r w:rsidRPr="00E3590B">
        <w:rPr>
          <w:rFonts w:ascii="Century Gothic" w:eastAsia="Times New Roman" w:hAnsi="Century Gothic" w:cs="Times New Roman"/>
          <w:color w:val="000000"/>
          <w:spacing w:val="20"/>
          <w:lang w:val="es-ES" w:eastAsia="es-ES"/>
        </w:rPr>
        <w:t xml:space="preserve"> Para la realización de las liquidaciones y transferencias de fondos correspondientes a la Coparticipación de Impuestos a las Comunas, se procederá de manera similar a la dispuesta para la distribución de estos recursos en los Municipios.</w:t>
      </w:r>
    </w:p>
    <w:p w14:paraId="7F8875A6" w14:textId="77777777" w:rsidR="00D94495" w:rsidRPr="00E3590B" w:rsidRDefault="00D94495" w:rsidP="00E3590B">
      <w:pPr>
        <w:spacing w:after="0" w:line="288" w:lineRule="auto"/>
        <w:jc w:val="both"/>
        <w:rPr>
          <w:rFonts w:ascii="Century Gothic" w:eastAsia="Times New Roman" w:hAnsi="Century Gothic" w:cs="Times New Roman"/>
          <w:b/>
          <w:spacing w:val="20"/>
          <w:u w:val="single"/>
          <w:lang w:val="es-ES" w:eastAsia="es-ES"/>
        </w:rPr>
      </w:pPr>
    </w:p>
    <w:p w14:paraId="3116566B"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b/>
          <w:spacing w:val="20"/>
          <w:u w:val="single"/>
          <w:lang w:val="es-ES" w:eastAsia="es-ES"/>
        </w:rPr>
        <w:t>ARTICULO 5°.-</w:t>
      </w:r>
      <w:r w:rsidRPr="00E3590B">
        <w:rPr>
          <w:rFonts w:ascii="Century Gothic" w:eastAsia="Times New Roman" w:hAnsi="Century Gothic" w:cs="Times New Roman"/>
          <w:spacing w:val="20"/>
          <w:lang w:val="es-ES" w:eastAsia="es-ES"/>
        </w:rPr>
        <w:t xml:space="preserve"> La distribución entre las Comunas se efectuará mediante porcentuales de Coparticipación que se actualizarán anualmente y tendrán validez, desde el 1 de enero hasta el 31 de diciembre de cada año.</w:t>
      </w:r>
    </w:p>
    <w:p w14:paraId="40FE1D1D"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p>
    <w:p w14:paraId="6FAFBDFE"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b/>
          <w:spacing w:val="20"/>
          <w:u w:val="single"/>
          <w:lang w:val="es-ES" w:eastAsia="es-ES"/>
        </w:rPr>
        <w:t>ARTICULO 6°.-</w:t>
      </w:r>
      <w:r w:rsidRPr="00E3590B">
        <w:rPr>
          <w:rFonts w:ascii="Century Gothic" w:eastAsia="Times New Roman" w:hAnsi="Century Gothic" w:cs="Times New Roman"/>
          <w:spacing w:val="20"/>
          <w:lang w:val="es-ES" w:eastAsia="es-ES"/>
        </w:rPr>
        <w:t xml:space="preserve"> Para la elaboración de los porcentuales de Coparticipación a que hace referencia el Artículo anterior, se tendrá en cuenta la siguiente fórmula:</w:t>
      </w:r>
    </w:p>
    <w:p w14:paraId="4418BF05"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spacing w:val="20"/>
          <w:lang w:val="es-ES" w:eastAsia="es-ES"/>
        </w:rPr>
        <w:t xml:space="preserve">      </w:t>
      </w:r>
    </w:p>
    <w:tbl>
      <w:tblPr>
        <w:tblW w:w="8505" w:type="dxa"/>
        <w:tblInd w:w="70" w:type="dxa"/>
        <w:tblCellMar>
          <w:left w:w="70" w:type="dxa"/>
          <w:right w:w="70" w:type="dxa"/>
        </w:tblCellMar>
        <w:tblLook w:val="04A0" w:firstRow="1" w:lastRow="0" w:firstColumn="1" w:lastColumn="0" w:noHBand="0" w:noVBand="1"/>
      </w:tblPr>
      <w:tblGrid>
        <w:gridCol w:w="1748"/>
        <w:gridCol w:w="1606"/>
        <w:gridCol w:w="534"/>
        <w:gridCol w:w="1873"/>
        <w:gridCol w:w="534"/>
        <w:gridCol w:w="2210"/>
      </w:tblGrid>
      <w:tr w:rsidR="00184A27" w:rsidRPr="00E3590B" w14:paraId="62607A87" w14:textId="77777777" w:rsidTr="00E3590B">
        <w:trPr>
          <w:trHeight w:val="383"/>
        </w:trPr>
        <w:tc>
          <w:tcPr>
            <w:tcW w:w="1748" w:type="dxa"/>
            <w:tcBorders>
              <w:top w:val="double" w:sz="6" w:space="0" w:color="auto"/>
              <w:left w:val="double" w:sz="6" w:space="0" w:color="auto"/>
              <w:bottom w:val="nil"/>
              <w:right w:val="nil"/>
            </w:tcBorders>
            <w:shd w:val="clear" w:color="auto" w:fill="auto"/>
            <w:noWrap/>
            <w:vAlign w:val="bottom"/>
            <w:hideMark/>
          </w:tcPr>
          <w:p w14:paraId="04650580" w14:textId="77777777" w:rsidR="00184A27" w:rsidRPr="00E3590B" w:rsidRDefault="00E2611B" w:rsidP="00E3590B">
            <w:pPr>
              <w:spacing w:after="0" w:line="288" w:lineRule="auto"/>
              <w:rPr>
                <w:rFonts w:ascii="Century Gothic" w:eastAsia="Times New Roman" w:hAnsi="Century Gothic" w:cs="Times New Roman"/>
                <w:color w:val="000000"/>
                <w:spacing w:val="20"/>
                <w:lang w:val="es-ES" w:eastAsia="es-AR"/>
              </w:rPr>
            </w:pPr>
            <w:r>
              <w:rPr>
                <w:rFonts w:ascii="Century Gothic" w:eastAsia="Times New Roman" w:hAnsi="Century Gothic" w:cs="Times New Roman"/>
                <w:color w:val="000000"/>
                <w:spacing w:val="20"/>
                <w:lang w:val="es-ES" w:eastAsia="es-AR"/>
              </w:rPr>
              <w:t xml:space="preserve">    </w:t>
            </w:r>
            <w:r w:rsidR="00184A27" w:rsidRPr="00E3590B">
              <w:rPr>
                <w:rFonts w:ascii="Century Gothic" w:eastAsia="Times New Roman" w:hAnsi="Century Gothic" w:cs="Times New Roman"/>
                <w:color w:val="000000"/>
                <w:spacing w:val="20"/>
                <w:lang w:val="es-ES" w:eastAsia="es-AR"/>
              </w:rPr>
              <w:t>CP =</w:t>
            </w:r>
          </w:p>
        </w:tc>
        <w:tc>
          <w:tcPr>
            <w:tcW w:w="1606" w:type="dxa"/>
            <w:tcBorders>
              <w:top w:val="double" w:sz="6" w:space="0" w:color="auto"/>
              <w:left w:val="nil"/>
              <w:bottom w:val="single" w:sz="4" w:space="0" w:color="auto"/>
              <w:right w:val="nil"/>
            </w:tcBorders>
            <w:shd w:val="clear" w:color="auto" w:fill="auto"/>
            <w:noWrap/>
            <w:vAlign w:val="bottom"/>
            <w:hideMark/>
          </w:tcPr>
          <w:p w14:paraId="3290BB72"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20%</w:t>
            </w:r>
          </w:p>
        </w:tc>
        <w:tc>
          <w:tcPr>
            <w:tcW w:w="534" w:type="dxa"/>
            <w:tcBorders>
              <w:top w:val="double" w:sz="6" w:space="0" w:color="auto"/>
              <w:left w:val="nil"/>
              <w:bottom w:val="nil"/>
              <w:right w:val="nil"/>
            </w:tcBorders>
            <w:shd w:val="clear" w:color="auto" w:fill="auto"/>
            <w:noWrap/>
            <w:vAlign w:val="bottom"/>
            <w:hideMark/>
          </w:tcPr>
          <w:p w14:paraId="7573C3E0"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w:t>
            </w:r>
          </w:p>
        </w:tc>
        <w:tc>
          <w:tcPr>
            <w:tcW w:w="1873" w:type="dxa"/>
            <w:tcBorders>
              <w:top w:val="double" w:sz="6" w:space="0" w:color="auto"/>
              <w:left w:val="nil"/>
              <w:bottom w:val="nil"/>
              <w:right w:val="nil"/>
            </w:tcBorders>
            <w:shd w:val="clear" w:color="auto" w:fill="auto"/>
            <w:noWrap/>
            <w:vAlign w:val="bottom"/>
            <w:hideMark/>
          </w:tcPr>
          <w:p w14:paraId="752E62CE"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 xml:space="preserve"> 60% </w:t>
            </w:r>
            <w:proofErr w:type="spellStart"/>
            <w:r w:rsidRPr="00E3590B">
              <w:rPr>
                <w:rFonts w:ascii="Century Gothic" w:eastAsia="Times New Roman" w:hAnsi="Century Gothic" w:cs="Times New Roman"/>
                <w:color w:val="000000"/>
                <w:spacing w:val="20"/>
                <w:lang w:val="es-ES" w:eastAsia="es-AR"/>
              </w:rPr>
              <w:t>ElecC</w:t>
            </w:r>
            <w:proofErr w:type="spellEnd"/>
          </w:p>
        </w:tc>
        <w:tc>
          <w:tcPr>
            <w:tcW w:w="534" w:type="dxa"/>
            <w:tcBorders>
              <w:top w:val="double" w:sz="6" w:space="0" w:color="auto"/>
              <w:left w:val="nil"/>
              <w:bottom w:val="nil"/>
              <w:right w:val="nil"/>
            </w:tcBorders>
            <w:shd w:val="clear" w:color="auto" w:fill="auto"/>
            <w:noWrap/>
            <w:vAlign w:val="bottom"/>
            <w:hideMark/>
          </w:tcPr>
          <w:p w14:paraId="0F91718C"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w:t>
            </w:r>
          </w:p>
        </w:tc>
        <w:tc>
          <w:tcPr>
            <w:tcW w:w="2210" w:type="dxa"/>
            <w:tcBorders>
              <w:top w:val="double" w:sz="6" w:space="0" w:color="auto"/>
              <w:left w:val="nil"/>
              <w:bottom w:val="nil"/>
              <w:right w:val="double" w:sz="6" w:space="0" w:color="auto"/>
            </w:tcBorders>
            <w:shd w:val="clear" w:color="auto" w:fill="auto"/>
            <w:noWrap/>
            <w:vAlign w:val="bottom"/>
            <w:hideMark/>
          </w:tcPr>
          <w:p w14:paraId="59BDD350"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20% (1/</w:t>
            </w:r>
            <w:proofErr w:type="spellStart"/>
            <w:r w:rsidRPr="00E3590B">
              <w:rPr>
                <w:rFonts w:ascii="Century Gothic" w:eastAsia="Times New Roman" w:hAnsi="Century Gothic" w:cs="Times New Roman"/>
                <w:color w:val="000000"/>
                <w:spacing w:val="20"/>
                <w:lang w:val="es-ES" w:eastAsia="es-AR"/>
              </w:rPr>
              <w:t>HNbiC</w:t>
            </w:r>
            <w:proofErr w:type="spellEnd"/>
            <w:r w:rsidRPr="00E3590B">
              <w:rPr>
                <w:rFonts w:ascii="Century Gothic" w:eastAsia="Times New Roman" w:hAnsi="Century Gothic" w:cs="Times New Roman"/>
                <w:color w:val="000000"/>
                <w:spacing w:val="20"/>
                <w:lang w:val="es-ES" w:eastAsia="es-AR"/>
              </w:rPr>
              <w:t>)</w:t>
            </w:r>
          </w:p>
        </w:tc>
      </w:tr>
      <w:tr w:rsidR="00184A27" w:rsidRPr="00E3590B" w14:paraId="737644AF" w14:textId="77777777" w:rsidTr="00E3590B">
        <w:trPr>
          <w:trHeight w:val="383"/>
        </w:trPr>
        <w:tc>
          <w:tcPr>
            <w:tcW w:w="1748" w:type="dxa"/>
            <w:tcBorders>
              <w:top w:val="nil"/>
              <w:left w:val="double" w:sz="6" w:space="0" w:color="auto"/>
              <w:bottom w:val="double" w:sz="6" w:space="0" w:color="auto"/>
              <w:right w:val="nil"/>
            </w:tcBorders>
            <w:shd w:val="clear" w:color="auto" w:fill="auto"/>
            <w:noWrap/>
            <w:vAlign w:val="bottom"/>
            <w:hideMark/>
          </w:tcPr>
          <w:p w14:paraId="2A497E69"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 </w:t>
            </w:r>
          </w:p>
        </w:tc>
        <w:tc>
          <w:tcPr>
            <w:tcW w:w="1606" w:type="dxa"/>
            <w:tcBorders>
              <w:top w:val="nil"/>
              <w:left w:val="nil"/>
              <w:bottom w:val="double" w:sz="6" w:space="0" w:color="auto"/>
              <w:right w:val="nil"/>
            </w:tcBorders>
            <w:shd w:val="clear" w:color="auto" w:fill="auto"/>
            <w:noWrap/>
            <w:vAlign w:val="bottom"/>
            <w:hideMark/>
          </w:tcPr>
          <w:p w14:paraId="6083552A" w14:textId="77777777" w:rsidR="00184A27" w:rsidRPr="00E3590B" w:rsidRDefault="00184A27" w:rsidP="00E3590B">
            <w:pPr>
              <w:spacing w:after="0" w:line="288" w:lineRule="auto"/>
              <w:jc w:val="center"/>
              <w:rPr>
                <w:rFonts w:ascii="Century Gothic" w:eastAsia="Times New Roman" w:hAnsi="Century Gothic" w:cs="Times New Roman"/>
                <w:spacing w:val="20"/>
                <w:lang w:val="es-ES" w:eastAsia="es-AR"/>
              </w:rPr>
            </w:pPr>
            <w:r w:rsidRPr="00E3590B">
              <w:rPr>
                <w:rFonts w:ascii="Century Gothic" w:eastAsia="Times New Roman" w:hAnsi="Century Gothic" w:cs="Times New Roman"/>
                <w:spacing w:val="20"/>
                <w:lang w:val="es-ES" w:eastAsia="es-AR"/>
              </w:rPr>
              <w:t>C</w:t>
            </w:r>
          </w:p>
        </w:tc>
        <w:tc>
          <w:tcPr>
            <w:tcW w:w="534" w:type="dxa"/>
            <w:tcBorders>
              <w:top w:val="nil"/>
              <w:left w:val="nil"/>
              <w:bottom w:val="double" w:sz="6" w:space="0" w:color="auto"/>
              <w:right w:val="nil"/>
            </w:tcBorders>
            <w:shd w:val="clear" w:color="auto" w:fill="auto"/>
            <w:noWrap/>
            <w:vAlign w:val="bottom"/>
            <w:hideMark/>
          </w:tcPr>
          <w:p w14:paraId="29670FFD"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 </w:t>
            </w:r>
          </w:p>
        </w:tc>
        <w:tc>
          <w:tcPr>
            <w:tcW w:w="1873" w:type="dxa"/>
            <w:tcBorders>
              <w:top w:val="single" w:sz="4" w:space="0" w:color="auto"/>
              <w:left w:val="nil"/>
              <w:bottom w:val="double" w:sz="6" w:space="0" w:color="auto"/>
              <w:right w:val="nil"/>
            </w:tcBorders>
            <w:shd w:val="clear" w:color="auto" w:fill="auto"/>
            <w:noWrap/>
            <w:vAlign w:val="bottom"/>
            <w:hideMark/>
          </w:tcPr>
          <w:p w14:paraId="71DD2DAE"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proofErr w:type="spellStart"/>
            <w:r w:rsidRPr="00E3590B">
              <w:rPr>
                <w:rFonts w:ascii="Century Gothic" w:eastAsia="Times New Roman" w:hAnsi="Century Gothic" w:cs="Times New Roman"/>
                <w:color w:val="000000"/>
                <w:spacing w:val="20"/>
                <w:lang w:val="es-ES" w:eastAsia="es-AR"/>
              </w:rPr>
              <w:t>TElecC</w:t>
            </w:r>
            <w:proofErr w:type="spellEnd"/>
          </w:p>
        </w:tc>
        <w:tc>
          <w:tcPr>
            <w:tcW w:w="534" w:type="dxa"/>
            <w:tcBorders>
              <w:top w:val="nil"/>
              <w:left w:val="nil"/>
              <w:bottom w:val="double" w:sz="6" w:space="0" w:color="auto"/>
              <w:right w:val="nil"/>
            </w:tcBorders>
            <w:shd w:val="clear" w:color="auto" w:fill="auto"/>
            <w:noWrap/>
            <w:vAlign w:val="bottom"/>
            <w:hideMark/>
          </w:tcPr>
          <w:p w14:paraId="4D2E6512"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 </w:t>
            </w:r>
          </w:p>
        </w:tc>
        <w:tc>
          <w:tcPr>
            <w:tcW w:w="2210" w:type="dxa"/>
            <w:tcBorders>
              <w:top w:val="single" w:sz="4" w:space="0" w:color="auto"/>
              <w:left w:val="nil"/>
              <w:bottom w:val="double" w:sz="6" w:space="0" w:color="auto"/>
              <w:right w:val="double" w:sz="6" w:space="0" w:color="auto"/>
            </w:tcBorders>
            <w:shd w:val="clear" w:color="auto" w:fill="auto"/>
            <w:noWrap/>
            <w:vAlign w:val="bottom"/>
            <w:hideMark/>
          </w:tcPr>
          <w:p w14:paraId="07E83CEF" w14:textId="77777777" w:rsidR="00184A27" w:rsidRPr="00E3590B" w:rsidRDefault="00184A27" w:rsidP="00E3590B">
            <w:pPr>
              <w:spacing w:after="0" w:line="288" w:lineRule="auto"/>
              <w:jc w:val="center"/>
              <w:rPr>
                <w:rFonts w:ascii="Century Gothic" w:eastAsia="Times New Roman" w:hAnsi="Century Gothic" w:cs="Times New Roman"/>
                <w:color w:val="000000"/>
                <w:spacing w:val="20"/>
                <w:lang w:val="es-ES" w:eastAsia="es-AR"/>
              </w:rPr>
            </w:pPr>
            <w:r w:rsidRPr="00E3590B">
              <w:rPr>
                <w:rFonts w:ascii="Century Gothic" w:eastAsia="Times New Roman" w:hAnsi="Century Gothic" w:cs="Times New Roman"/>
                <w:color w:val="000000"/>
                <w:spacing w:val="20"/>
                <w:lang w:val="es-ES" w:eastAsia="es-AR"/>
              </w:rPr>
              <w:t>T 1/</w:t>
            </w:r>
            <w:proofErr w:type="spellStart"/>
            <w:r w:rsidRPr="00E3590B">
              <w:rPr>
                <w:rFonts w:ascii="Century Gothic" w:eastAsia="Times New Roman" w:hAnsi="Century Gothic" w:cs="Times New Roman"/>
                <w:color w:val="000000"/>
                <w:spacing w:val="20"/>
                <w:lang w:val="es-ES" w:eastAsia="es-AR"/>
              </w:rPr>
              <w:t>HNbiC</w:t>
            </w:r>
            <w:proofErr w:type="spellEnd"/>
          </w:p>
        </w:tc>
      </w:tr>
    </w:tbl>
    <w:p w14:paraId="1B35DFB1" w14:textId="77777777" w:rsidR="00184A27" w:rsidRPr="00E3590B" w:rsidRDefault="00184A27" w:rsidP="00E3590B">
      <w:pPr>
        <w:spacing w:after="0" w:line="288" w:lineRule="auto"/>
        <w:jc w:val="both"/>
        <w:rPr>
          <w:rFonts w:ascii="Century Gothic" w:eastAsia="Times New Roman" w:hAnsi="Century Gothic" w:cs="Times New Roman"/>
          <w:spacing w:val="20"/>
          <w:lang w:val="es-ES" w:eastAsia="es-ES"/>
        </w:rPr>
      </w:pPr>
    </w:p>
    <w:p w14:paraId="7CD3555A" w14:textId="77777777" w:rsidR="00184A27" w:rsidRPr="00E3590B" w:rsidRDefault="00184A27" w:rsidP="00E3590B">
      <w:pPr>
        <w:spacing w:after="60" w:line="288" w:lineRule="auto"/>
        <w:ind w:firstLine="708"/>
        <w:jc w:val="both"/>
        <w:rPr>
          <w:rFonts w:ascii="Century Gothic" w:eastAsia="Times New Roman" w:hAnsi="Century Gothic" w:cs="Times New Roman"/>
          <w:spacing w:val="20"/>
          <w:lang w:val="es-ES" w:eastAsia="es-ES"/>
        </w:rPr>
      </w:pPr>
      <w:r w:rsidRPr="00E3590B">
        <w:rPr>
          <w:rFonts w:ascii="Century Gothic" w:eastAsia="Times New Roman" w:hAnsi="Century Gothic" w:cs="Times New Roman"/>
          <w:spacing w:val="20"/>
          <w:lang w:val="es-ES" w:eastAsia="es-ES"/>
        </w:rPr>
        <w:t>Dónde:</w:t>
      </w:r>
    </w:p>
    <w:p w14:paraId="527E458C" w14:textId="77777777" w:rsidR="00184A27" w:rsidRPr="00E3590B" w:rsidRDefault="00184A27" w:rsidP="00E3590B">
      <w:pPr>
        <w:spacing w:before="60" w:after="60" w:line="288" w:lineRule="auto"/>
        <w:jc w:val="both"/>
        <w:rPr>
          <w:rFonts w:ascii="Century Gothic" w:eastAsia="Calibri" w:hAnsi="Century Gothic" w:cs="Times New Roman"/>
          <w:spacing w:val="20"/>
        </w:rPr>
      </w:pPr>
      <w:r w:rsidRPr="00E3590B">
        <w:rPr>
          <w:rFonts w:ascii="Century Gothic" w:eastAsia="Calibri" w:hAnsi="Century Gothic" w:cs="Times New Roman"/>
          <w:spacing w:val="20"/>
        </w:rPr>
        <w:t>CP: Porcentaje de Coparticipación correspondiente a cada Comuna.</w:t>
      </w:r>
    </w:p>
    <w:p w14:paraId="513EDC68" w14:textId="77777777" w:rsidR="00184A27" w:rsidRPr="00E3590B" w:rsidRDefault="00184A27" w:rsidP="00E3590B">
      <w:pPr>
        <w:spacing w:before="60" w:after="60" w:line="288" w:lineRule="auto"/>
        <w:jc w:val="both"/>
        <w:rPr>
          <w:rFonts w:ascii="Century Gothic" w:eastAsia="Calibri" w:hAnsi="Century Gothic" w:cs="Times New Roman"/>
          <w:spacing w:val="20"/>
        </w:rPr>
      </w:pPr>
      <w:r w:rsidRPr="00E3590B">
        <w:rPr>
          <w:rFonts w:ascii="Century Gothic" w:eastAsia="Calibri" w:hAnsi="Century Gothic" w:cs="Times New Roman"/>
          <w:spacing w:val="20"/>
        </w:rPr>
        <w:t xml:space="preserve">C: Número de </w:t>
      </w:r>
      <w:r w:rsidR="00FF782F" w:rsidRPr="00E3590B">
        <w:rPr>
          <w:rFonts w:ascii="Century Gothic" w:eastAsia="Calibri" w:hAnsi="Century Gothic" w:cs="Times New Roman"/>
          <w:spacing w:val="20"/>
        </w:rPr>
        <w:t>Comunas</w:t>
      </w:r>
      <w:r w:rsidRPr="00E3590B">
        <w:rPr>
          <w:rFonts w:ascii="Century Gothic" w:eastAsia="Calibri" w:hAnsi="Century Gothic" w:cs="Times New Roman"/>
          <w:spacing w:val="20"/>
        </w:rPr>
        <w:t xml:space="preserve"> existentes a la fecha de elaboración de los porcentuales.</w:t>
      </w:r>
    </w:p>
    <w:p w14:paraId="739A65BC" w14:textId="77777777" w:rsidR="00184A27" w:rsidRPr="00E3590B" w:rsidRDefault="00184A27" w:rsidP="00E3590B">
      <w:pPr>
        <w:spacing w:before="60" w:after="60" w:line="288" w:lineRule="auto"/>
        <w:jc w:val="both"/>
        <w:rPr>
          <w:rFonts w:ascii="Century Gothic" w:eastAsia="Calibri" w:hAnsi="Century Gothic" w:cs="Times New Roman"/>
          <w:spacing w:val="20"/>
        </w:rPr>
      </w:pPr>
      <w:proofErr w:type="spellStart"/>
      <w:r w:rsidRPr="00E3590B">
        <w:rPr>
          <w:rFonts w:ascii="Century Gothic" w:eastAsia="Calibri" w:hAnsi="Century Gothic" w:cs="Times New Roman"/>
          <w:spacing w:val="20"/>
        </w:rPr>
        <w:t>ElecC</w:t>
      </w:r>
      <w:proofErr w:type="spellEnd"/>
      <w:r w:rsidRPr="00E3590B">
        <w:rPr>
          <w:rFonts w:ascii="Century Gothic" w:eastAsia="Calibri" w:hAnsi="Century Gothic" w:cs="Times New Roman"/>
          <w:spacing w:val="20"/>
        </w:rPr>
        <w:t xml:space="preserve">: Electores de cada </w:t>
      </w:r>
      <w:r w:rsidR="00FF782F" w:rsidRPr="00E3590B">
        <w:rPr>
          <w:rFonts w:ascii="Century Gothic" w:eastAsia="Calibri" w:hAnsi="Century Gothic" w:cs="Times New Roman"/>
          <w:spacing w:val="20"/>
        </w:rPr>
        <w:t>Comuna</w:t>
      </w:r>
      <w:r w:rsidRPr="00E3590B">
        <w:rPr>
          <w:rFonts w:ascii="Century Gothic" w:eastAsia="Calibri" w:hAnsi="Century Gothic" w:cs="Times New Roman"/>
          <w:spacing w:val="20"/>
        </w:rPr>
        <w:t>, de acuerdo a los datos del último Padrón Oficial Disponible.</w:t>
      </w:r>
    </w:p>
    <w:p w14:paraId="053DC2FA" w14:textId="77777777" w:rsidR="00184A27" w:rsidRPr="00E3590B" w:rsidRDefault="00184A27" w:rsidP="00E3590B">
      <w:pPr>
        <w:spacing w:before="60" w:after="60" w:line="288" w:lineRule="auto"/>
        <w:jc w:val="both"/>
        <w:rPr>
          <w:rFonts w:ascii="Century Gothic" w:eastAsia="Calibri" w:hAnsi="Century Gothic" w:cs="Times New Roman"/>
          <w:spacing w:val="20"/>
        </w:rPr>
      </w:pPr>
      <w:proofErr w:type="spellStart"/>
      <w:r w:rsidRPr="00E3590B">
        <w:rPr>
          <w:rFonts w:ascii="Century Gothic" w:eastAsia="Calibri" w:hAnsi="Century Gothic" w:cs="Times New Roman"/>
          <w:spacing w:val="20"/>
        </w:rPr>
        <w:t>TElecC</w:t>
      </w:r>
      <w:proofErr w:type="spellEnd"/>
      <w:r w:rsidRPr="00E3590B">
        <w:rPr>
          <w:rFonts w:ascii="Century Gothic" w:eastAsia="Calibri" w:hAnsi="Century Gothic" w:cs="Times New Roman"/>
          <w:spacing w:val="20"/>
        </w:rPr>
        <w:t xml:space="preserve">: Total de Electores en </w:t>
      </w:r>
      <w:r w:rsidR="00FF782F" w:rsidRPr="00E3590B">
        <w:rPr>
          <w:rFonts w:ascii="Century Gothic" w:eastAsia="Calibri" w:hAnsi="Century Gothic" w:cs="Times New Roman"/>
          <w:spacing w:val="20"/>
        </w:rPr>
        <w:t>Comunas</w:t>
      </w:r>
      <w:r w:rsidRPr="00E3590B">
        <w:rPr>
          <w:rFonts w:ascii="Century Gothic" w:eastAsia="Calibri" w:hAnsi="Century Gothic" w:cs="Times New Roman"/>
          <w:spacing w:val="20"/>
        </w:rPr>
        <w:t>, de acuerdo a los datos del último Padrón Oficial Disponible.</w:t>
      </w:r>
    </w:p>
    <w:p w14:paraId="2D6DB708" w14:textId="77777777" w:rsidR="00184A27" w:rsidRPr="00E3590B" w:rsidRDefault="00184A27" w:rsidP="00E3590B">
      <w:pPr>
        <w:spacing w:before="60" w:after="60" w:line="288" w:lineRule="auto"/>
        <w:jc w:val="both"/>
        <w:rPr>
          <w:rFonts w:ascii="Century Gothic" w:eastAsia="Calibri" w:hAnsi="Century Gothic" w:cs="Times New Roman"/>
          <w:spacing w:val="20"/>
        </w:rPr>
      </w:pPr>
      <w:r w:rsidRPr="00E3590B">
        <w:rPr>
          <w:rFonts w:ascii="Century Gothic" w:eastAsia="Calibri" w:hAnsi="Century Gothic" w:cs="Times New Roman"/>
          <w:spacing w:val="20"/>
        </w:rPr>
        <w:t>1/</w:t>
      </w:r>
      <w:proofErr w:type="spellStart"/>
      <w:r w:rsidRPr="00E3590B">
        <w:rPr>
          <w:rFonts w:ascii="Century Gothic" w:eastAsia="Calibri" w:hAnsi="Century Gothic" w:cs="Times New Roman"/>
          <w:spacing w:val="20"/>
        </w:rPr>
        <w:t>HNbiC</w:t>
      </w:r>
      <w:proofErr w:type="spellEnd"/>
      <w:r w:rsidRPr="00E3590B">
        <w:rPr>
          <w:rFonts w:ascii="Century Gothic" w:eastAsia="Calibri" w:hAnsi="Century Gothic" w:cs="Times New Roman"/>
          <w:spacing w:val="20"/>
        </w:rPr>
        <w:t>: Inversa de Hogares con Necesidades Básicas Insatisfechas en cada C</w:t>
      </w:r>
      <w:r w:rsidR="00FF782F" w:rsidRPr="00E3590B">
        <w:rPr>
          <w:rFonts w:ascii="Century Gothic" w:eastAsia="Calibri" w:hAnsi="Century Gothic" w:cs="Times New Roman"/>
          <w:spacing w:val="20"/>
        </w:rPr>
        <w:t>omuna</w:t>
      </w:r>
      <w:r w:rsidRPr="00E3590B">
        <w:rPr>
          <w:rFonts w:ascii="Century Gothic" w:eastAsia="Calibri" w:hAnsi="Century Gothic" w:cs="Times New Roman"/>
          <w:spacing w:val="20"/>
        </w:rPr>
        <w:t>, de acuerdo a los datos oficiales provenientes del último Censo Nacional disponible (INDEC).</w:t>
      </w:r>
    </w:p>
    <w:p w14:paraId="651368F3" w14:textId="77777777" w:rsidR="00184A27" w:rsidRPr="00E3590B" w:rsidRDefault="00184A27" w:rsidP="00E3590B">
      <w:pPr>
        <w:spacing w:before="60" w:after="60" w:line="288" w:lineRule="auto"/>
        <w:jc w:val="both"/>
        <w:rPr>
          <w:rFonts w:ascii="Century Gothic" w:eastAsia="Calibri" w:hAnsi="Century Gothic" w:cs="Times New Roman"/>
          <w:spacing w:val="20"/>
        </w:rPr>
      </w:pPr>
      <w:r w:rsidRPr="00E3590B">
        <w:rPr>
          <w:rFonts w:ascii="Century Gothic" w:eastAsia="Calibri" w:hAnsi="Century Gothic" w:cs="Times New Roman"/>
          <w:spacing w:val="20"/>
        </w:rPr>
        <w:t>T1/</w:t>
      </w:r>
      <w:proofErr w:type="spellStart"/>
      <w:r w:rsidRPr="00E3590B">
        <w:rPr>
          <w:rFonts w:ascii="Century Gothic" w:eastAsia="Calibri" w:hAnsi="Century Gothic" w:cs="Times New Roman"/>
          <w:spacing w:val="20"/>
        </w:rPr>
        <w:t>HNbiC</w:t>
      </w:r>
      <w:proofErr w:type="spellEnd"/>
      <w:r w:rsidRPr="00E3590B">
        <w:rPr>
          <w:rFonts w:ascii="Century Gothic" w:eastAsia="Calibri" w:hAnsi="Century Gothic" w:cs="Times New Roman"/>
          <w:spacing w:val="20"/>
        </w:rPr>
        <w:t>: Total de la Inversa de Hogares con Necesidades Básicas Insatisfechas en l</w:t>
      </w:r>
      <w:r w:rsidR="004E5375" w:rsidRPr="00E3590B">
        <w:rPr>
          <w:rFonts w:ascii="Century Gothic" w:eastAsia="Calibri" w:hAnsi="Century Gothic" w:cs="Times New Roman"/>
          <w:spacing w:val="20"/>
        </w:rPr>
        <w:t>as</w:t>
      </w:r>
      <w:r w:rsidRPr="00E3590B">
        <w:rPr>
          <w:rFonts w:ascii="Century Gothic" w:eastAsia="Calibri" w:hAnsi="Century Gothic" w:cs="Times New Roman"/>
          <w:spacing w:val="20"/>
        </w:rPr>
        <w:t xml:space="preserve"> C</w:t>
      </w:r>
      <w:r w:rsidR="004E5375" w:rsidRPr="00E3590B">
        <w:rPr>
          <w:rFonts w:ascii="Century Gothic" w:eastAsia="Calibri" w:hAnsi="Century Gothic" w:cs="Times New Roman"/>
          <w:spacing w:val="20"/>
        </w:rPr>
        <w:t>omunas</w:t>
      </w:r>
      <w:r w:rsidRPr="00E3590B">
        <w:rPr>
          <w:rFonts w:ascii="Century Gothic" w:eastAsia="Calibri" w:hAnsi="Century Gothic" w:cs="Times New Roman"/>
          <w:spacing w:val="20"/>
        </w:rPr>
        <w:t>, de acuerdo a los datos oficiales provenientes del último Censo Nacional disponible (INDEC).</w:t>
      </w:r>
    </w:p>
    <w:p w14:paraId="34AE1136"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eastAsia="es-ES"/>
        </w:rPr>
      </w:pPr>
    </w:p>
    <w:p w14:paraId="14D723C7"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7°.-</w:t>
      </w:r>
      <w:r w:rsidRPr="00E3590B">
        <w:rPr>
          <w:rFonts w:ascii="Century Gothic" w:eastAsia="Times New Roman" w:hAnsi="Century Gothic" w:cs="Times New Roman"/>
          <w:color w:val="000000"/>
          <w:spacing w:val="20"/>
          <w:lang w:val="es-ES" w:eastAsia="es-ES"/>
        </w:rPr>
        <w:t xml:space="preserve"> El indicador previsto en el artículo anterior respecto a la Inversa de Hogares con Necesidades Básicas Insatisfechas, se actualiza a partir del año siguiente al de la publicación del Censo Nacional de Población y Viviendas del Instituto Nacional de Estadísticas y Censos (INDEC).</w:t>
      </w:r>
    </w:p>
    <w:p w14:paraId="1C8456FF" w14:textId="77777777" w:rsidR="00D94495" w:rsidRPr="00E3590B" w:rsidRDefault="00D94495" w:rsidP="00E3590B">
      <w:pPr>
        <w:spacing w:after="0" w:line="288" w:lineRule="auto"/>
        <w:jc w:val="both"/>
        <w:rPr>
          <w:rFonts w:ascii="Century Gothic" w:eastAsia="Times New Roman" w:hAnsi="Century Gothic" w:cs="Times New Roman"/>
          <w:color w:val="000000"/>
          <w:spacing w:val="20"/>
          <w:lang w:val="es-ES" w:eastAsia="es-ES"/>
        </w:rPr>
      </w:pPr>
    </w:p>
    <w:p w14:paraId="1C0A35FA"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8°.-</w:t>
      </w:r>
      <w:r w:rsidRPr="00E3590B">
        <w:rPr>
          <w:rFonts w:ascii="Century Gothic" w:eastAsia="Times New Roman" w:hAnsi="Century Gothic" w:cs="Times New Roman"/>
          <w:color w:val="000000"/>
          <w:spacing w:val="20"/>
          <w:lang w:val="es-ES" w:eastAsia="es-ES"/>
        </w:rPr>
        <w:t xml:space="preserve"> Las Comunas se incorporarán al presente Régimen a partir del año siguiente al de su declaración.</w:t>
      </w:r>
    </w:p>
    <w:p w14:paraId="4EC57A48"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p>
    <w:p w14:paraId="08F0FA6B"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9°.-</w:t>
      </w:r>
      <w:r w:rsidRPr="00E3590B">
        <w:rPr>
          <w:rFonts w:ascii="Century Gothic" w:eastAsia="Times New Roman" w:hAnsi="Century Gothic" w:cs="Times New Roman"/>
          <w:color w:val="000000"/>
          <w:spacing w:val="20"/>
          <w:lang w:val="es-ES" w:eastAsia="es-ES"/>
        </w:rPr>
        <w:t xml:space="preserve"> Antes del </w:t>
      </w:r>
      <w:r w:rsidR="00CF4F2A">
        <w:rPr>
          <w:rFonts w:ascii="Century Gothic" w:eastAsia="Times New Roman" w:hAnsi="Century Gothic" w:cs="Times New Roman"/>
          <w:color w:val="000000"/>
          <w:spacing w:val="20"/>
          <w:lang w:val="es-ES" w:eastAsia="es-ES"/>
        </w:rPr>
        <w:t>30</w:t>
      </w:r>
      <w:r w:rsidRPr="00E3590B">
        <w:rPr>
          <w:rFonts w:ascii="Century Gothic" w:eastAsia="Times New Roman" w:hAnsi="Century Gothic" w:cs="Times New Roman"/>
          <w:color w:val="000000"/>
          <w:spacing w:val="20"/>
          <w:lang w:val="es-ES" w:eastAsia="es-ES"/>
        </w:rPr>
        <w:t xml:space="preserve"> de septiembre de cada año, la Contaduría General de la Provincia confeccionará y elevará para su aprobación por el Poder Ejecutivo la tabla de porcentaje de Coparticipación que se aplicará al año siguiente, adjuntando la planilla de datos utilizados a tal fin.</w:t>
      </w:r>
    </w:p>
    <w:p w14:paraId="1FC3A1AE"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p>
    <w:p w14:paraId="2F1E5CA4"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10°.-</w:t>
      </w:r>
      <w:r w:rsidRPr="00E3590B">
        <w:rPr>
          <w:rFonts w:ascii="Century Gothic" w:eastAsia="Times New Roman" w:hAnsi="Century Gothic" w:cs="Times New Roman"/>
          <w:color w:val="000000"/>
          <w:spacing w:val="20"/>
          <w:lang w:val="es-ES" w:eastAsia="es-ES"/>
        </w:rPr>
        <w:t xml:space="preserve"> Aprobada por el Poder Ejecutivo la Tabla de Porcentajes de Coparticipación</w:t>
      </w:r>
      <w:r w:rsidR="00FF782F" w:rsidRPr="00E3590B">
        <w:rPr>
          <w:rFonts w:ascii="Century Gothic" w:eastAsia="Times New Roman" w:hAnsi="Century Gothic" w:cs="Times New Roman"/>
          <w:color w:val="000000"/>
          <w:spacing w:val="20"/>
          <w:lang w:val="es-ES" w:eastAsia="es-ES"/>
        </w:rPr>
        <w:t xml:space="preserve">, se procederá a la publicación </w:t>
      </w:r>
      <w:r w:rsidRPr="00E3590B">
        <w:rPr>
          <w:rFonts w:ascii="Century Gothic" w:eastAsia="Times New Roman" w:hAnsi="Century Gothic" w:cs="Times New Roman"/>
          <w:color w:val="000000"/>
          <w:spacing w:val="20"/>
          <w:lang w:val="es-ES" w:eastAsia="es-ES"/>
        </w:rPr>
        <w:t>del Decreto respectivo</w:t>
      </w:r>
      <w:r w:rsidR="00FF782F" w:rsidRPr="00E3590B">
        <w:rPr>
          <w:rFonts w:ascii="Century Gothic" w:eastAsia="Times New Roman" w:hAnsi="Century Gothic" w:cs="Times New Roman"/>
          <w:color w:val="000000"/>
          <w:spacing w:val="20"/>
          <w:lang w:val="es-ES" w:eastAsia="es-ES"/>
        </w:rPr>
        <w:t xml:space="preserve">, en </w:t>
      </w:r>
      <w:r w:rsidR="004E5375" w:rsidRPr="00E3590B">
        <w:rPr>
          <w:rFonts w:ascii="Century Gothic" w:eastAsia="Times New Roman" w:hAnsi="Century Gothic" w:cs="Times New Roman"/>
          <w:color w:val="000000"/>
          <w:spacing w:val="20"/>
          <w:lang w:val="es-ES" w:eastAsia="es-ES"/>
        </w:rPr>
        <w:t>la página web o</w:t>
      </w:r>
      <w:r w:rsidR="00FF782F" w:rsidRPr="00E3590B">
        <w:rPr>
          <w:rFonts w:ascii="Century Gothic" w:eastAsia="Times New Roman" w:hAnsi="Century Gothic" w:cs="Times New Roman"/>
          <w:color w:val="000000"/>
          <w:spacing w:val="20"/>
          <w:lang w:val="es-ES" w:eastAsia="es-ES"/>
        </w:rPr>
        <w:t>ficial del Estado Provincial,</w:t>
      </w:r>
      <w:r w:rsidRPr="00E3590B">
        <w:rPr>
          <w:rFonts w:ascii="Century Gothic" w:eastAsia="Times New Roman" w:hAnsi="Century Gothic" w:cs="Times New Roman"/>
          <w:color w:val="000000"/>
          <w:spacing w:val="20"/>
          <w:lang w:val="es-ES" w:eastAsia="es-ES"/>
        </w:rPr>
        <w:t xml:space="preserve"> dentro de los treinta (</w:t>
      </w:r>
      <w:r w:rsidR="00FF782F" w:rsidRPr="00E3590B">
        <w:rPr>
          <w:rFonts w:ascii="Century Gothic" w:eastAsia="Times New Roman" w:hAnsi="Century Gothic" w:cs="Times New Roman"/>
          <w:color w:val="000000"/>
          <w:spacing w:val="20"/>
          <w:lang w:val="es-ES" w:eastAsia="es-ES"/>
        </w:rPr>
        <w:t>30) días de ocurrido tal hecho.</w:t>
      </w:r>
    </w:p>
    <w:p w14:paraId="3AD4BD8B" w14:textId="77777777" w:rsidR="00184A27" w:rsidRPr="00E3590B" w:rsidRDefault="00184A27" w:rsidP="00E3590B">
      <w:pPr>
        <w:spacing w:after="0" w:line="288" w:lineRule="auto"/>
        <w:jc w:val="both"/>
        <w:rPr>
          <w:rFonts w:ascii="Century Gothic" w:eastAsia="Times New Roman" w:hAnsi="Century Gothic" w:cs="Arial"/>
          <w:b/>
          <w:color w:val="000000"/>
          <w:spacing w:val="20"/>
          <w:u w:val="single"/>
          <w:lang w:val="es-ES" w:eastAsia="es-ES"/>
        </w:rPr>
      </w:pPr>
    </w:p>
    <w:p w14:paraId="0E785FA8"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11°.-</w:t>
      </w:r>
      <w:r w:rsidRPr="00E3590B">
        <w:rPr>
          <w:rFonts w:ascii="Century Gothic" w:eastAsia="Times New Roman" w:hAnsi="Century Gothic" w:cs="Times New Roman"/>
          <w:color w:val="000000"/>
          <w:spacing w:val="20"/>
          <w:lang w:val="es-ES" w:eastAsia="es-ES"/>
        </w:rPr>
        <w:t xml:space="preserve"> Si la creación de una nueva Comuna ocurriera entre el </w:t>
      </w:r>
      <w:r w:rsidR="00E3590B">
        <w:rPr>
          <w:rFonts w:ascii="Century Gothic" w:eastAsia="Times New Roman" w:hAnsi="Century Gothic" w:cs="Times New Roman"/>
          <w:color w:val="000000"/>
          <w:spacing w:val="20"/>
          <w:lang w:val="es-ES" w:eastAsia="es-ES"/>
        </w:rPr>
        <w:t>30</w:t>
      </w:r>
      <w:r w:rsidRPr="00E3590B">
        <w:rPr>
          <w:rFonts w:ascii="Century Gothic" w:eastAsia="Times New Roman" w:hAnsi="Century Gothic" w:cs="Times New Roman"/>
          <w:color w:val="000000"/>
          <w:spacing w:val="20"/>
          <w:lang w:val="es-ES" w:eastAsia="es-ES"/>
        </w:rPr>
        <w:t xml:space="preserve"> de setiembre y el </w:t>
      </w:r>
      <w:r w:rsidR="00E3590B">
        <w:rPr>
          <w:rFonts w:ascii="Century Gothic" w:eastAsia="Times New Roman" w:hAnsi="Century Gothic" w:cs="Times New Roman"/>
          <w:color w:val="000000"/>
          <w:spacing w:val="20"/>
          <w:lang w:val="es-ES" w:eastAsia="es-ES"/>
        </w:rPr>
        <w:t>31</w:t>
      </w:r>
      <w:r w:rsidRPr="00E3590B">
        <w:rPr>
          <w:rFonts w:ascii="Century Gothic" w:eastAsia="Times New Roman" w:hAnsi="Century Gothic" w:cs="Times New Roman"/>
          <w:color w:val="000000"/>
          <w:spacing w:val="20"/>
          <w:lang w:val="es-ES" w:eastAsia="es-ES"/>
        </w:rPr>
        <w:t xml:space="preserve"> de diciembre, ambas fechas inclusive, deberán rectificarse las actuaciones a que hubieran dado lugar las disposiciones de esta Ley.</w:t>
      </w:r>
    </w:p>
    <w:p w14:paraId="3AFA618F" w14:textId="77777777" w:rsidR="00184A27" w:rsidRPr="00E3590B" w:rsidRDefault="00184A27" w:rsidP="00E3590B">
      <w:pPr>
        <w:spacing w:after="0" w:line="288" w:lineRule="auto"/>
        <w:jc w:val="both"/>
        <w:rPr>
          <w:rFonts w:ascii="Century Gothic" w:eastAsia="Times New Roman" w:hAnsi="Century Gothic" w:cs="Arial"/>
          <w:color w:val="000000"/>
          <w:spacing w:val="20"/>
          <w:lang w:val="es-ES" w:eastAsia="es-ES"/>
        </w:rPr>
      </w:pPr>
    </w:p>
    <w:p w14:paraId="327D8743"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12°.-</w:t>
      </w:r>
      <w:r w:rsidRPr="00E3590B">
        <w:rPr>
          <w:rFonts w:ascii="Century Gothic" w:eastAsia="Times New Roman" w:hAnsi="Century Gothic" w:cs="Times New Roman"/>
          <w:color w:val="000000"/>
          <w:spacing w:val="20"/>
          <w:lang w:val="es-ES" w:eastAsia="es-ES"/>
        </w:rPr>
        <w:t xml:space="preserve"> El Poder Ejecutivo no podrá realizar retención alguna, salvo cuando la Comuna sea deudora de la Provincia o de sus Entes Descentralizados o Autárquicos por obligaciones nacidas en virtud de ley, o de convenios en el marco de leyes, o deudas previsionales o sociales.</w:t>
      </w:r>
    </w:p>
    <w:p w14:paraId="14BAE6CA"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color w:val="000000"/>
          <w:spacing w:val="20"/>
          <w:lang w:val="es-ES" w:eastAsia="es-ES"/>
        </w:rPr>
        <w:t>El Poder Ejecutivo reglamentará la metodología para efectuar la retención de los impuestos coparticipables.</w:t>
      </w:r>
    </w:p>
    <w:p w14:paraId="613497DE"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color w:val="000000"/>
          <w:spacing w:val="20"/>
          <w:lang w:val="es-ES" w:eastAsia="es-ES"/>
        </w:rPr>
        <w:t>La autoridad competente del organismo acreedor comunicará de las obligaciones a que aluden los párrafos precedentes, para su inmediata retención.</w:t>
      </w:r>
    </w:p>
    <w:p w14:paraId="39B2FA3D"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color w:val="000000"/>
          <w:spacing w:val="20"/>
          <w:lang w:val="es-ES" w:eastAsia="es-ES"/>
        </w:rPr>
        <w:t xml:space="preserve">En todos los casos, deberá </w:t>
      </w:r>
      <w:r w:rsidR="00FF782F" w:rsidRPr="00E3590B">
        <w:rPr>
          <w:rFonts w:ascii="Century Gothic" w:eastAsia="Times New Roman" w:hAnsi="Century Gothic" w:cs="Times New Roman"/>
          <w:color w:val="000000"/>
          <w:spacing w:val="20"/>
          <w:lang w:val="es-ES" w:eastAsia="es-ES"/>
        </w:rPr>
        <w:t xml:space="preserve">publicarse en </w:t>
      </w:r>
      <w:r w:rsidR="004E5375" w:rsidRPr="00E3590B">
        <w:rPr>
          <w:rFonts w:ascii="Century Gothic" w:eastAsia="Times New Roman" w:hAnsi="Century Gothic" w:cs="Times New Roman"/>
          <w:color w:val="000000"/>
          <w:spacing w:val="20"/>
          <w:lang w:val="es-ES" w:eastAsia="es-ES"/>
        </w:rPr>
        <w:t>la página web oficial del Estado Provincial</w:t>
      </w:r>
      <w:r w:rsidR="00FF782F" w:rsidRPr="00E3590B">
        <w:rPr>
          <w:rFonts w:ascii="Century Gothic" w:eastAsia="Times New Roman" w:hAnsi="Century Gothic" w:cs="Times New Roman"/>
          <w:color w:val="000000"/>
          <w:spacing w:val="20"/>
          <w:lang w:val="es-ES" w:eastAsia="es-ES"/>
        </w:rPr>
        <w:t>,</w:t>
      </w:r>
      <w:r w:rsidRPr="00E3590B">
        <w:rPr>
          <w:rFonts w:ascii="Century Gothic" w:eastAsia="Times New Roman" w:hAnsi="Century Gothic" w:cs="Times New Roman"/>
          <w:color w:val="000000"/>
          <w:spacing w:val="20"/>
          <w:lang w:val="es-ES" w:eastAsia="es-ES"/>
        </w:rPr>
        <w:t xml:space="preserve"> la liquidación respectiva a la Comuna, con detalle de las mismas, a los efectos de la correcta contabilización de los Impuestos Coparticipables con imputación de las retenciones efectuadas para su posterior verificación.</w:t>
      </w:r>
    </w:p>
    <w:p w14:paraId="2236C0CA" w14:textId="77777777" w:rsidR="00D94495" w:rsidRPr="00E3590B" w:rsidRDefault="00D94495" w:rsidP="00E3590B">
      <w:pPr>
        <w:spacing w:after="0" w:line="288" w:lineRule="auto"/>
        <w:jc w:val="both"/>
        <w:rPr>
          <w:rFonts w:ascii="Century Gothic" w:eastAsia="Times New Roman" w:hAnsi="Century Gothic" w:cs="Arial"/>
          <w:color w:val="000000"/>
          <w:spacing w:val="20"/>
          <w:lang w:val="es-ES" w:eastAsia="es-ES"/>
        </w:rPr>
      </w:pPr>
    </w:p>
    <w:p w14:paraId="298EDBED" w14:textId="77777777" w:rsidR="00184A27" w:rsidRPr="00E3590B" w:rsidRDefault="00184A27" w:rsidP="00E3590B">
      <w:pPr>
        <w:spacing w:after="0" w:line="288" w:lineRule="auto"/>
        <w:jc w:val="both"/>
        <w:rPr>
          <w:rFonts w:ascii="Century Gothic" w:eastAsia="Times New Roman" w:hAnsi="Century Gothic" w:cs="Times New Roman"/>
          <w:color w:val="000000"/>
          <w:spacing w:val="20"/>
          <w:lang w:val="es-ES" w:eastAsia="es-ES"/>
        </w:rPr>
      </w:pPr>
      <w:r w:rsidRPr="00E3590B">
        <w:rPr>
          <w:rFonts w:ascii="Century Gothic" w:eastAsia="Times New Roman" w:hAnsi="Century Gothic" w:cs="Times New Roman"/>
          <w:b/>
          <w:color w:val="000000"/>
          <w:spacing w:val="20"/>
          <w:u w:val="single"/>
          <w:lang w:val="es-ES" w:eastAsia="es-ES"/>
        </w:rPr>
        <w:t>ARTICULO 13°.-</w:t>
      </w:r>
      <w:r w:rsidRPr="00E3590B">
        <w:rPr>
          <w:rFonts w:ascii="Century Gothic" w:eastAsia="Times New Roman" w:hAnsi="Century Gothic" w:cs="Times New Roman"/>
          <w:color w:val="000000"/>
          <w:spacing w:val="20"/>
          <w:lang w:val="es-ES" w:eastAsia="es-ES"/>
        </w:rPr>
        <w:t xml:space="preserve"> Sin perjuicio de lo dispuesto en el artículo anterior, el Poder Ejecutivo podrá suspender la participación en Impuestos Nacionales y Provinciales de las Comunas que no den cumplimiento a las normas de la Ley Nacional N° 23.548 o de toda otra que en el futuro la modifique, sustituya o complemente, o a las decisiones de la Comisión Federal de Impuesto.</w:t>
      </w:r>
    </w:p>
    <w:p w14:paraId="6897E511" w14:textId="77777777" w:rsidR="00FF782F" w:rsidRPr="00E3590B" w:rsidRDefault="00FF782F" w:rsidP="00E3590B">
      <w:pPr>
        <w:spacing w:after="0" w:line="288" w:lineRule="auto"/>
        <w:jc w:val="center"/>
        <w:rPr>
          <w:rFonts w:ascii="Century Gothic" w:eastAsia="Times New Roman" w:hAnsi="Century Gothic" w:cs="Times New Roman"/>
          <w:b/>
          <w:color w:val="000000"/>
          <w:spacing w:val="20"/>
          <w:lang w:val="es-ES" w:eastAsia="es-ES"/>
        </w:rPr>
      </w:pPr>
    </w:p>
    <w:p w14:paraId="263BB271"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r w:rsidRPr="00E3590B">
        <w:rPr>
          <w:rFonts w:ascii="Century Gothic" w:eastAsia="Times New Roman" w:hAnsi="Century Gothic" w:cs="Times New Roman"/>
          <w:b/>
          <w:color w:val="000000"/>
          <w:spacing w:val="20"/>
          <w:lang w:val="es-ES" w:eastAsia="es-ES"/>
        </w:rPr>
        <w:t>DISPOSICIONES TRANSITORIAS</w:t>
      </w:r>
    </w:p>
    <w:p w14:paraId="5B3956CA" w14:textId="77777777" w:rsidR="00AE1AC3" w:rsidRPr="00E3590B" w:rsidRDefault="00AE1AC3" w:rsidP="00E3590B">
      <w:pPr>
        <w:spacing w:after="0" w:line="288" w:lineRule="auto"/>
        <w:rPr>
          <w:rFonts w:ascii="Century Gothic" w:eastAsia="Times New Roman" w:hAnsi="Century Gothic" w:cs="Times New Roman"/>
          <w:b/>
          <w:color w:val="000000"/>
          <w:spacing w:val="20"/>
          <w:lang w:val="es-ES" w:eastAsia="es-ES"/>
        </w:rPr>
      </w:pPr>
    </w:p>
    <w:p w14:paraId="41C376FF" w14:textId="77777777" w:rsidR="00804C26" w:rsidRDefault="00AE1AC3" w:rsidP="00E3590B">
      <w:pPr>
        <w:widowControl w:val="0"/>
        <w:spacing w:line="288" w:lineRule="auto"/>
        <w:jc w:val="both"/>
        <w:rPr>
          <w:rFonts w:ascii="Century Gothic" w:hAnsi="Century Gothic" w:cs="Arial"/>
          <w:spacing w:val="20"/>
          <w:lang w:val="es-ES_tradnl"/>
        </w:rPr>
      </w:pPr>
      <w:r w:rsidRPr="00E3590B">
        <w:rPr>
          <w:rFonts w:ascii="Century Gothic" w:hAnsi="Century Gothic" w:cs="Arial"/>
          <w:b/>
          <w:spacing w:val="20"/>
          <w:u w:val="single"/>
          <w:lang w:val="es-ES_tradnl"/>
        </w:rPr>
        <w:t>ARTICULO 14º.-</w:t>
      </w:r>
      <w:r w:rsidRPr="00E3590B">
        <w:rPr>
          <w:rFonts w:ascii="Century Gothic" w:hAnsi="Century Gothic" w:cs="Arial"/>
          <w:spacing w:val="20"/>
          <w:lang w:val="es-ES_tradnl"/>
        </w:rPr>
        <w:t xml:space="preserve"> </w:t>
      </w:r>
      <w:proofErr w:type="spellStart"/>
      <w:r w:rsidRPr="00E3590B">
        <w:rPr>
          <w:rFonts w:ascii="Century Gothic" w:hAnsi="Century Gothic" w:cs="Arial"/>
          <w:spacing w:val="20"/>
          <w:lang w:val="es-ES_tradnl"/>
        </w:rPr>
        <w:t>Establécese</w:t>
      </w:r>
      <w:proofErr w:type="spellEnd"/>
      <w:r w:rsidR="00804C26">
        <w:rPr>
          <w:rFonts w:ascii="Century Gothic" w:hAnsi="Century Gothic" w:cs="Arial"/>
          <w:spacing w:val="20"/>
          <w:lang w:val="es-ES_tradnl"/>
        </w:rPr>
        <w:t>, en función de lo previsto en los artículos 59º y 60º de la Ley N</w:t>
      </w:r>
      <w:r w:rsidR="00B31671">
        <w:rPr>
          <w:rFonts w:ascii="Century Gothic" w:hAnsi="Century Gothic" w:cs="Arial"/>
          <w:spacing w:val="20"/>
          <w:lang w:val="es-ES_tradnl"/>
        </w:rPr>
        <w:t>º</w:t>
      </w:r>
      <w:r w:rsidR="00804C26">
        <w:rPr>
          <w:rFonts w:ascii="Century Gothic" w:hAnsi="Century Gothic" w:cs="Arial"/>
          <w:spacing w:val="20"/>
          <w:lang w:val="es-ES_tradnl"/>
        </w:rPr>
        <w:t xml:space="preserve"> 10</w:t>
      </w:r>
      <w:r w:rsidR="00B31671">
        <w:rPr>
          <w:rFonts w:ascii="Century Gothic" w:hAnsi="Century Gothic" w:cs="Arial"/>
          <w:spacing w:val="20"/>
          <w:lang w:val="es-ES_tradnl"/>
        </w:rPr>
        <w:t>.</w:t>
      </w:r>
      <w:r w:rsidR="00804C26">
        <w:rPr>
          <w:rFonts w:ascii="Century Gothic" w:hAnsi="Century Gothic" w:cs="Arial"/>
          <w:spacing w:val="20"/>
          <w:lang w:val="es-ES_tradnl"/>
        </w:rPr>
        <w:t xml:space="preserve">644, </w:t>
      </w:r>
      <w:r w:rsidRPr="00E3590B">
        <w:rPr>
          <w:rFonts w:ascii="Century Gothic" w:hAnsi="Century Gothic" w:cs="Arial"/>
          <w:spacing w:val="20"/>
          <w:lang w:val="es-ES_tradnl"/>
        </w:rPr>
        <w:t>la aplicación gradual y proporcional del porcentaje de Coparticipación de Impuestos Nacionales y Provinciales para Comunas garantizado en el Artículo 246°</w:t>
      </w:r>
      <w:r w:rsidR="00804C26">
        <w:rPr>
          <w:rFonts w:ascii="Century Gothic" w:hAnsi="Century Gothic" w:cs="Arial"/>
          <w:spacing w:val="20"/>
          <w:lang w:val="es-ES_tradnl"/>
        </w:rPr>
        <w:t xml:space="preserve"> </w:t>
      </w:r>
      <w:r w:rsidRPr="00E3590B">
        <w:rPr>
          <w:rFonts w:ascii="Century Gothic" w:hAnsi="Century Gothic" w:cs="Arial"/>
          <w:spacing w:val="20"/>
          <w:lang w:val="es-ES_tradnl"/>
        </w:rPr>
        <w:t>de la Constitución Provincial,</w:t>
      </w:r>
      <w:r w:rsidR="00804C26">
        <w:rPr>
          <w:rFonts w:ascii="Century Gothic" w:hAnsi="Century Gothic" w:cs="Arial"/>
          <w:spacing w:val="20"/>
          <w:lang w:val="es-ES_tradnl"/>
        </w:rPr>
        <w:t xml:space="preserve"> a partir de la entrada en vigencia del presente régimen, de manera tal que se aplicará: durante el año 2020 el $0,</w:t>
      </w:r>
      <w:r w:rsidR="00B31671">
        <w:rPr>
          <w:rFonts w:ascii="Century Gothic" w:hAnsi="Century Gothic" w:cs="Arial"/>
          <w:spacing w:val="20"/>
          <w:lang w:val="es-ES_tradnl"/>
        </w:rPr>
        <w:t>50% (cero con cincuenta por ciento)</w:t>
      </w:r>
      <w:r w:rsidR="00804C26">
        <w:rPr>
          <w:rFonts w:ascii="Century Gothic" w:hAnsi="Century Gothic" w:cs="Arial"/>
          <w:spacing w:val="20"/>
          <w:lang w:val="es-ES_tradnl"/>
        </w:rPr>
        <w:t xml:space="preserve">; durante el año 2021 </w:t>
      </w:r>
      <w:r w:rsidR="00AA0DF4">
        <w:rPr>
          <w:rFonts w:ascii="Century Gothic" w:hAnsi="Century Gothic" w:cs="Arial"/>
          <w:spacing w:val="20"/>
          <w:lang w:val="es-ES_tradnl"/>
        </w:rPr>
        <w:t xml:space="preserve">el </w:t>
      </w:r>
      <w:r w:rsidR="00804C26">
        <w:rPr>
          <w:rFonts w:ascii="Century Gothic" w:hAnsi="Century Gothic" w:cs="Arial"/>
          <w:spacing w:val="20"/>
          <w:lang w:val="es-ES_tradnl"/>
        </w:rPr>
        <w:t>0,60 % (</w:t>
      </w:r>
      <w:r w:rsidR="00B31671">
        <w:rPr>
          <w:rFonts w:ascii="Century Gothic" w:hAnsi="Century Gothic" w:cs="Arial"/>
          <w:spacing w:val="20"/>
          <w:lang w:val="es-ES_tradnl"/>
        </w:rPr>
        <w:t>cero con sesenta por ciento);</w:t>
      </w:r>
      <w:r w:rsidR="00804C26">
        <w:rPr>
          <w:rFonts w:ascii="Century Gothic" w:hAnsi="Century Gothic" w:cs="Arial"/>
          <w:spacing w:val="20"/>
          <w:lang w:val="es-ES_tradnl"/>
        </w:rPr>
        <w:t xml:space="preserve"> durante el año 2022 el 0,70% (cero con setenta por ciento); durante el año 2023 el 0,80 $ (cero con ochenta por ciento); durante el año 2024 el 0,90 % (cero con noventa por ciento); para finalmente alcanzar durante el año 2025 el 1% (uno por</w:t>
      </w:r>
      <w:r w:rsidR="00B31671">
        <w:rPr>
          <w:rFonts w:ascii="Century Gothic" w:hAnsi="Century Gothic" w:cs="Arial"/>
          <w:spacing w:val="20"/>
          <w:lang w:val="es-ES_tradnl"/>
        </w:rPr>
        <w:t xml:space="preserve"> </w:t>
      </w:r>
      <w:r w:rsidR="00804C26">
        <w:rPr>
          <w:rFonts w:ascii="Century Gothic" w:hAnsi="Century Gothic" w:cs="Arial"/>
          <w:spacing w:val="20"/>
          <w:lang w:val="es-ES_tradnl"/>
        </w:rPr>
        <w:t>ciento)previsto en el artículo segundo de la presente, conforme al artículo 246</w:t>
      </w:r>
      <w:r w:rsidR="00B31671">
        <w:rPr>
          <w:rFonts w:ascii="Century Gothic" w:hAnsi="Century Gothic" w:cs="Arial"/>
          <w:spacing w:val="20"/>
          <w:lang w:val="es-ES_tradnl"/>
        </w:rPr>
        <w:t>º</w:t>
      </w:r>
      <w:r w:rsidR="00804C26">
        <w:rPr>
          <w:rFonts w:ascii="Century Gothic" w:hAnsi="Century Gothic" w:cs="Arial"/>
          <w:spacing w:val="20"/>
          <w:lang w:val="es-ES_tradnl"/>
        </w:rPr>
        <w:t xml:space="preserve"> de la Constitución Provincial.</w:t>
      </w:r>
    </w:p>
    <w:p w14:paraId="02B8F8E5" w14:textId="77777777" w:rsidR="00B31671" w:rsidRDefault="00B31671" w:rsidP="00E3590B">
      <w:pPr>
        <w:widowControl w:val="0"/>
        <w:spacing w:line="288" w:lineRule="auto"/>
        <w:jc w:val="both"/>
        <w:rPr>
          <w:rFonts w:ascii="Century Gothic" w:hAnsi="Century Gothic" w:cs="Arial"/>
          <w:spacing w:val="20"/>
          <w:lang w:val="es-ES_tradnl"/>
        </w:rPr>
      </w:pPr>
      <w:r>
        <w:rPr>
          <w:rFonts w:ascii="Century Gothic" w:hAnsi="Century Gothic" w:cs="Arial"/>
          <w:spacing w:val="20"/>
          <w:lang w:val="es-ES_tradnl"/>
        </w:rPr>
        <w:t>Los servicios de educación, salud y caminos secundarios y terciarios que se encuentre</w:t>
      </w:r>
      <w:r w:rsidR="00355E94">
        <w:rPr>
          <w:rFonts w:ascii="Century Gothic" w:hAnsi="Century Gothic" w:cs="Arial"/>
          <w:spacing w:val="20"/>
          <w:lang w:val="es-ES_tradnl"/>
        </w:rPr>
        <w:t>n dentro del ejido de las Comun</w:t>
      </w:r>
      <w:r>
        <w:rPr>
          <w:rFonts w:ascii="Century Gothic" w:hAnsi="Century Gothic" w:cs="Arial"/>
          <w:spacing w:val="20"/>
          <w:lang w:val="es-ES_tradnl"/>
        </w:rPr>
        <w:t>as, seguirán a cargo del Estado Provincial. La transferencia</w:t>
      </w:r>
      <w:r w:rsidR="00355E94">
        <w:rPr>
          <w:rFonts w:ascii="Century Gothic" w:hAnsi="Century Gothic" w:cs="Arial"/>
          <w:spacing w:val="20"/>
          <w:lang w:val="es-ES_tradnl"/>
        </w:rPr>
        <w:t xml:space="preserve"> </w:t>
      </w:r>
      <w:r>
        <w:rPr>
          <w:rFonts w:ascii="Century Gothic" w:hAnsi="Century Gothic" w:cs="Arial"/>
          <w:spacing w:val="20"/>
          <w:lang w:val="es-ES_tradnl"/>
        </w:rPr>
        <w:t>de esos servicios, sólo podrá realizarse con la debida transferencia de partidas</w:t>
      </w:r>
      <w:r w:rsidR="00355E94">
        <w:rPr>
          <w:rFonts w:ascii="Century Gothic" w:hAnsi="Century Gothic" w:cs="Arial"/>
          <w:spacing w:val="20"/>
          <w:lang w:val="es-ES_tradnl"/>
        </w:rPr>
        <w:t xml:space="preserve"> </w:t>
      </w:r>
      <w:r>
        <w:rPr>
          <w:rFonts w:ascii="Century Gothic" w:hAnsi="Century Gothic" w:cs="Arial"/>
          <w:spacing w:val="20"/>
          <w:lang w:val="es-ES_tradnl"/>
        </w:rPr>
        <w:t>adicio</w:t>
      </w:r>
      <w:r w:rsidR="00355E94">
        <w:rPr>
          <w:rFonts w:ascii="Century Gothic" w:hAnsi="Century Gothic" w:cs="Arial"/>
          <w:spacing w:val="20"/>
          <w:lang w:val="es-ES_tradnl"/>
        </w:rPr>
        <w:t>nales a la copartici</w:t>
      </w:r>
      <w:r>
        <w:rPr>
          <w:rFonts w:ascii="Century Gothic" w:hAnsi="Century Gothic" w:cs="Arial"/>
          <w:spacing w:val="20"/>
          <w:lang w:val="es-ES_tradnl"/>
        </w:rPr>
        <w:t>pación del 1% (uno por ciento)</w:t>
      </w:r>
      <w:r w:rsidR="00355E94">
        <w:rPr>
          <w:rFonts w:ascii="Century Gothic" w:hAnsi="Century Gothic" w:cs="Arial"/>
          <w:spacing w:val="20"/>
          <w:lang w:val="es-ES_tradnl"/>
        </w:rPr>
        <w:t>.</w:t>
      </w:r>
    </w:p>
    <w:p w14:paraId="0D311E05"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30595B78" w14:textId="77777777" w:rsidR="00AE1AC3" w:rsidRPr="00E3590B" w:rsidRDefault="00AE1AC3" w:rsidP="00E3590B">
      <w:pPr>
        <w:widowControl w:val="0"/>
        <w:spacing w:line="288" w:lineRule="auto"/>
        <w:jc w:val="both"/>
        <w:rPr>
          <w:rFonts w:ascii="Century Gothic" w:hAnsi="Century Gothic" w:cs="Arial"/>
          <w:spacing w:val="20"/>
          <w:lang w:val="es-ES_tradnl"/>
        </w:rPr>
      </w:pPr>
      <w:r w:rsidRPr="00E3590B">
        <w:rPr>
          <w:rFonts w:ascii="Century Gothic" w:hAnsi="Century Gothic" w:cs="Arial"/>
          <w:b/>
          <w:spacing w:val="20"/>
          <w:u w:val="single"/>
          <w:lang w:val="es-ES_tradnl"/>
        </w:rPr>
        <w:t>ARTICULO 15º.-</w:t>
      </w:r>
      <w:r w:rsidRPr="00E3590B">
        <w:rPr>
          <w:rFonts w:ascii="Century Gothic" w:hAnsi="Century Gothic" w:cs="Arial"/>
          <w:spacing w:val="20"/>
          <w:u w:val="single"/>
          <w:lang w:val="es-ES_tradnl"/>
        </w:rPr>
        <w:t xml:space="preserve"> </w:t>
      </w:r>
      <w:r w:rsidRPr="00E3590B">
        <w:rPr>
          <w:rFonts w:ascii="Century Gothic" w:hAnsi="Century Gothic" w:cs="Arial"/>
          <w:spacing w:val="20"/>
          <w:lang w:val="es-ES_tradnl"/>
        </w:rPr>
        <w:t xml:space="preserve"> Comuníquese, etcétera.</w:t>
      </w:r>
    </w:p>
    <w:p w14:paraId="6F16D729"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5A4922E9"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bookmarkStart w:id="0" w:name="_GoBack"/>
      <w:bookmarkEnd w:id="0"/>
    </w:p>
    <w:p w14:paraId="42CD332A"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5530A906"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46D1320E"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627A2BFC"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03F647C7"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1A2C5FFB"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336AECFC"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2812605B" w14:textId="77777777" w:rsidR="00AE1AC3" w:rsidRPr="00E3590B" w:rsidRDefault="00AE1AC3" w:rsidP="00E3590B">
      <w:pPr>
        <w:spacing w:after="0" w:line="288" w:lineRule="auto"/>
        <w:jc w:val="center"/>
        <w:rPr>
          <w:rFonts w:ascii="Century Gothic" w:eastAsia="Times New Roman" w:hAnsi="Century Gothic" w:cs="Times New Roman"/>
          <w:b/>
          <w:color w:val="000000"/>
          <w:spacing w:val="20"/>
          <w:lang w:val="es-ES" w:eastAsia="es-ES"/>
        </w:rPr>
      </w:pPr>
    </w:p>
    <w:p w14:paraId="6407509C" w14:textId="77777777" w:rsidR="00184A27" w:rsidRPr="00E3590B" w:rsidRDefault="00184A27" w:rsidP="00E3590B">
      <w:pPr>
        <w:tabs>
          <w:tab w:val="left" w:pos="2835"/>
        </w:tabs>
        <w:spacing w:after="120" w:line="288" w:lineRule="auto"/>
        <w:jc w:val="both"/>
        <w:rPr>
          <w:rFonts w:ascii="Century Gothic" w:hAnsi="Century Gothic" w:cs="Century Gothic"/>
          <w:spacing w:val="20"/>
        </w:rPr>
      </w:pPr>
    </w:p>
    <w:sectPr w:rsidR="00184A27" w:rsidRPr="00E3590B" w:rsidSect="00E3590B">
      <w:pgSz w:w="11906" w:h="16838"/>
      <w:pgMar w:top="340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81"/>
    <w:rsid w:val="00007C63"/>
    <w:rsid w:val="000340DB"/>
    <w:rsid w:val="000525B4"/>
    <w:rsid w:val="00055D4F"/>
    <w:rsid w:val="000A64F6"/>
    <w:rsid w:val="000B1725"/>
    <w:rsid w:val="000E5242"/>
    <w:rsid w:val="00184A27"/>
    <w:rsid w:val="001E71DE"/>
    <w:rsid w:val="00247CBA"/>
    <w:rsid w:val="0025152A"/>
    <w:rsid w:val="002D7B00"/>
    <w:rsid w:val="00323115"/>
    <w:rsid w:val="00355E94"/>
    <w:rsid w:val="00375DBB"/>
    <w:rsid w:val="003B5128"/>
    <w:rsid w:val="003F6C41"/>
    <w:rsid w:val="0042555F"/>
    <w:rsid w:val="004E5375"/>
    <w:rsid w:val="00512417"/>
    <w:rsid w:val="005C2B0D"/>
    <w:rsid w:val="005C7DF8"/>
    <w:rsid w:val="005F2511"/>
    <w:rsid w:val="00757085"/>
    <w:rsid w:val="00804C26"/>
    <w:rsid w:val="00867798"/>
    <w:rsid w:val="008D4D81"/>
    <w:rsid w:val="009069FE"/>
    <w:rsid w:val="009229C2"/>
    <w:rsid w:val="00943F63"/>
    <w:rsid w:val="00950CA1"/>
    <w:rsid w:val="009C40FF"/>
    <w:rsid w:val="00A16C03"/>
    <w:rsid w:val="00A25D52"/>
    <w:rsid w:val="00A4050D"/>
    <w:rsid w:val="00A55D59"/>
    <w:rsid w:val="00AA0DF4"/>
    <w:rsid w:val="00AE1AC3"/>
    <w:rsid w:val="00B02B34"/>
    <w:rsid w:val="00B055D2"/>
    <w:rsid w:val="00B31671"/>
    <w:rsid w:val="00B5789D"/>
    <w:rsid w:val="00BC0D68"/>
    <w:rsid w:val="00C16BCA"/>
    <w:rsid w:val="00C4470E"/>
    <w:rsid w:val="00C54984"/>
    <w:rsid w:val="00C77A45"/>
    <w:rsid w:val="00CF4F2A"/>
    <w:rsid w:val="00CF6DC9"/>
    <w:rsid w:val="00D57095"/>
    <w:rsid w:val="00D63ED4"/>
    <w:rsid w:val="00D700B0"/>
    <w:rsid w:val="00D76613"/>
    <w:rsid w:val="00D94495"/>
    <w:rsid w:val="00DC612C"/>
    <w:rsid w:val="00DF48C2"/>
    <w:rsid w:val="00E2611B"/>
    <w:rsid w:val="00E3590B"/>
    <w:rsid w:val="00E92EF3"/>
    <w:rsid w:val="00F04B2C"/>
    <w:rsid w:val="00F62C17"/>
    <w:rsid w:val="00F64A5F"/>
    <w:rsid w:val="00FF78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7563"/>
  <w15:docId w15:val="{C0D0D5C9-7351-48A4-9B4C-EE6A1B3B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D4D81"/>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AE1A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1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26C0-00F4-450E-990E-362C3448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1950</Words>
  <Characters>10729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jfu</dc:creator>
  <cp:keywords/>
  <dc:description/>
  <cp:lastModifiedBy>Romina</cp:lastModifiedBy>
  <cp:revision>2</cp:revision>
  <cp:lastPrinted>2019-11-27T21:50:00Z</cp:lastPrinted>
  <dcterms:created xsi:type="dcterms:W3CDTF">2019-11-28T12:48:00Z</dcterms:created>
  <dcterms:modified xsi:type="dcterms:W3CDTF">2019-11-28T12:48:00Z</dcterms:modified>
</cp:coreProperties>
</file>