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9854A" w14:textId="77777777" w:rsidR="00F3723D" w:rsidRDefault="00F3723D" w:rsidP="00756884">
      <w:pPr>
        <w:pStyle w:val="Textoindependiente"/>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pacing w:val="-6"/>
        </w:rPr>
      </w:pPr>
      <w:r>
        <w:rPr>
          <w:rFonts w:ascii="Times New Roman" w:hAnsi="Times New Roman" w:cs="Times New Roman"/>
          <w:spacing w:val="-6"/>
        </w:rPr>
        <w:t xml:space="preserve">LA LEGISLATURA DE LA PROVINCIA DE ENTRE RÍOS SANCIONA CON </w:t>
      </w:r>
    </w:p>
    <w:p w14:paraId="061B5373" w14:textId="50264563" w:rsidR="00F3723D" w:rsidRPr="00756884" w:rsidRDefault="00F3723D" w:rsidP="00756884">
      <w:pPr>
        <w:pStyle w:val="Textoindependiente"/>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rPr>
      </w:pPr>
      <w:r>
        <w:rPr>
          <w:rFonts w:ascii="Times New Roman" w:hAnsi="Times New Roman" w:cs="Times New Roman"/>
          <w:spacing w:val="-6"/>
        </w:rPr>
        <w:t>FUERZA DE</w:t>
      </w:r>
    </w:p>
    <w:p w14:paraId="615D16DA" w14:textId="3B8D40DC" w:rsidR="00F3723D" w:rsidRDefault="00F3723D" w:rsidP="00756884">
      <w:pPr>
        <w:pBdr>
          <w:top w:val="single" w:sz="4" w:space="1" w:color="auto"/>
          <w:left w:val="single" w:sz="4" w:space="4" w:color="auto"/>
          <w:bottom w:val="single" w:sz="4" w:space="1" w:color="auto"/>
          <w:right w:val="single" w:sz="4" w:space="4" w:color="auto"/>
        </w:pBdr>
        <w:spacing w:line="360" w:lineRule="auto"/>
        <w:jc w:val="center"/>
      </w:pPr>
      <w:r>
        <w:rPr>
          <w:b/>
        </w:rPr>
        <w:t>L</w:t>
      </w:r>
      <w:r w:rsidR="00756884">
        <w:rPr>
          <w:b/>
        </w:rPr>
        <w:t xml:space="preserve"> E Y</w:t>
      </w:r>
      <w:r>
        <w:rPr>
          <w:b/>
        </w:rPr>
        <w:t>:</w:t>
      </w:r>
    </w:p>
    <w:p w14:paraId="4B428C40" w14:textId="77777777" w:rsidR="00F3723D" w:rsidRDefault="00F3723D" w:rsidP="00756884">
      <w:pPr>
        <w:pBdr>
          <w:top w:val="single" w:sz="4" w:space="1" w:color="auto"/>
          <w:left w:val="single" w:sz="4" w:space="4" w:color="auto"/>
          <w:bottom w:val="single" w:sz="4" w:space="1" w:color="auto"/>
          <w:right w:val="single" w:sz="4" w:space="4" w:color="auto"/>
        </w:pBdr>
        <w:spacing w:line="360" w:lineRule="auto"/>
        <w:jc w:val="both"/>
      </w:pPr>
    </w:p>
    <w:p w14:paraId="5E6950B3" w14:textId="55A1CDC8"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jc w:val="both"/>
        <w:rPr>
          <w:bCs/>
        </w:rPr>
      </w:pPr>
      <w:r>
        <w:rPr>
          <w:b/>
          <w:u w:val="single"/>
        </w:rPr>
        <w:t>ARTICULO 1º.-</w:t>
      </w:r>
      <w:r>
        <w:rPr>
          <w:bCs/>
        </w:rPr>
        <w:t xml:space="preserve"> Modifíquese el art. 6° del Decreto 4384/19 ratificado por Ley 10.049 apartado b), el que quedará redactado de la siguiente manera: </w:t>
      </w:r>
    </w:p>
    <w:p w14:paraId="1A387472" w14:textId="56F95799"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jc w:val="both"/>
        <w:rPr>
          <w:bCs/>
        </w:rPr>
      </w:pPr>
      <w:r>
        <w:rPr>
          <w:bCs/>
        </w:rPr>
        <w:t xml:space="preserve">“B) Tribunal de Juicio y Apelaciones de Concordia: Estará integrado por seis jueces y ejercerá competencia territorial en los Departamentos Concordia, </w:t>
      </w:r>
      <w:r w:rsidR="005E14EB">
        <w:rPr>
          <w:bCs/>
        </w:rPr>
        <w:t>F</w:t>
      </w:r>
      <w:r>
        <w:rPr>
          <w:bCs/>
        </w:rPr>
        <w:t xml:space="preserve">ederación y </w:t>
      </w:r>
      <w:r w:rsidR="005E14EB">
        <w:rPr>
          <w:bCs/>
        </w:rPr>
        <w:t>F</w:t>
      </w:r>
      <w:r>
        <w:rPr>
          <w:bCs/>
        </w:rPr>
        <w:t>ederal, siendo también tribunal de alzada en las apelaciones que se deduzcan en la jurisdicción.</w:t>
      </w:r>
      <w:r w:rsidR="005E14EB">
        <w:rPr>
          <w:bCs/>
        </w:rPr>
        <w:t>”</w:t>
      </w:r>
      <w:r>
        <w:rPr>
          <w:bCs/>
        </w:rPr>
        <w:t xml:space="preserve"> </w:t>
      </w:r>
    </w:p>
    <w:p w14:paraId="2FD8C1D0" w14:textId="77777777"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jc w:val="both"/>
        <w:rPr>
          <w:bCs/>
        </w:rPr>
      </w:pPr>
    </w:p>
    <w:p w14:paraId="530B5209" w14:textId="529B3B7E"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jc w:val="both"/>
        <w:rPr>
          <w:bCs/>
        </w:rPr>
      </w:pPr>
      <w:r w:rsidRPr="00F3723D">
        <w:rPr>
          <w:b/>
          <w:bCs/>
          <w:u w:val="single"/>
        </w:rPr>
        <w:t>ARTICULO 2°</w:t>
      </w:r>
      <w:r>
        <w:rPr>
          <w:b/>
          <w:bCs/>
          <w:u w:val="single"/>
        </w:rPr>
        <w:t>.-</w:t>
      </w:r>
      <w:r>
        <w:t xml:space="preserve"> </w:t>
      </w:r>
      <w:proofErr w:type="spellStart"/>
      <w:r w:rsidR="00DF7980">
        <w:t>Asígnase</w:t>
      </w:r>
      <w:proofErr w:type="spellEnd"/>
      <w:r w:rsidR="00DF7980">
        <w:t xml:space="preserve"> el cargo de Vocal obtenido por transformación </w:t>
      </w:r>
      <w:r w:rsidR="005E14EB">
        <w:rPr>
          <w:bCs/>
        </w:rPr>
        <w:t>de</w:t>
      </w:r>
      <w:r w:rsidR="00DF7980">
        <w:rPr>
          <w:bCs/>
        </w:rPr>
        <w:t xml:space="preserve">l cargo de </w:t>
      </w:r>
      <w:r w:rsidR="00F32AAE">
        <w:rPr>
          <w:bCs/>
        </w:rPr>
        <w:t xml:space="preserve"> ex </w:t>
      </w:r>
      <w:r w:rsidR="005E14EB">
        <w:rPr>
          <w:bCs/>
        </w:rPr>
        <w:t>Juez de Instrucción N° 2 de Concordia</w:t>
      </w:r>
      <w:r w:rsidR="00DF7980">
        <w:rPr>
          <w:bCs/>
        </w:rPr>
        <w:t xml:space="preserve"> al Tribunal de Juicio y Apelaciones </w:t>
      </w:r>
      <w:r w:rsidR="00013ECD">
        <w:rPr>
          <w:bCs/>
        </w:rPr>
        <w:t xml:space="preserve">de dicha jurisdicción, </w:t>
      </w:r>
      <w:r w:rsidR="00372BB1">
        <w:rPr>
          <w:bCs/>
        </w:rPr>
        <w:t>como sexta Vocalía</w:t>
      </w:r>
      <w:r w:rsidR="005E14EB" w:rsidRPr="005E14EB">
        <w:rPr>
          <w:bCs/>
        </w:rPr>
        <w:t>.-</w:t>
      </w:r>
    </w:p>
    <w:p w14:paraId="7456F47D" w14:textId="77777777"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rPr>
          <w:bCs/>
        </w:rPr>
      </w:pPr>
    </w:p>
    <w:p w14:paraId="41416282" w14:textId="2B18FAF0"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jc w:val="both"/>
      </w:pPr>
      <w:r>
        <w:rPr>
          <w:b/>
          <w:u w:val="single"/>
        </w:rPr>
        <w:t>ARTÍCULO 3º.-</w:t>
      </w:r>
      <w:r>
        <w:t xml:space="preserve">  </w:t>
      </w:r>
      <w:proofErr w:type="spellStart"/>
      <w:r>
        <w:t>Facúltase</w:t>
      </w:r>
      <w:proofErr w:type="spellEnd"/>
      <w:r>
        <w:t xml:space="preserve"> al Superior Tribunal de Justicia a arbitrar los medios y recursos necesarios para la implementación y aplicación de la presente le</w:t>
      </w:r>
      <w:r w:rsidR="00AD4792">
        <w:t xml:space="preserve">y. </w:t>
      </w:r>
    </w:p>
    <w:p w14:paraId="56381AFF" w14:textId="186C6ABB" w:rsidR="00D5674F" w:rsidRDefault="00D5674F" w:rsidP="00756884">
      <w:pPr>
        <w:pBdr>
          <w:top w:val="single" w:sz="4" w:space="1" w:color="auto"/>
          <w:left w:val="single" w:sz="4" w:space="4" w:color="auto"/>
          <w:bottom w:val="single" w:sz="4" w:space="1" w:color="auto"/>
          <w:right w:val="single" w:sz="4" w:space="4" w:color="auto"/>
        </w:pBdr>
        <w:spacing w:line="360" w:lineRule="auto"/>
        <w:ind w:firstLine="708"/>
        <w:jc w:val="both"/>
        <w:rPr>
          <w:color w:val="FF0000"/>
        </w:rPr>
      </w:pPr>
    </w:p>
    <w:p w14:paraId="5345EB3A" w14:textId="11EDD829" w:rsidR="002C3D8C" w:rsidRPr="002C3D8C" w:rsidRDefault="002C3D8C" w:rsidP="00756884">
      <w:pPr>
        <w:pBdr>
          <w:top w:val="single" w:sz="4" w:space="1" w:color="auto"/>
          <w:left w:val="single" w:sz="4" w:space="4" w:color="auto"/>
          <w:bottom w:val="single" w:sz="4" w:space="1" w:color="auto"/>
          <w:right w:val="single" w:sz="4" w:space="4" w:color="auto"/>
        </w:pBdr>
        <w:spacing w:line="360" w:lineRule="auto"/>
        <w:ind w:firstLine="708"/>
        <w:jc w:val="both"/>
        <w:rPr>
          <w:b/>
          <w:u w:val="single"/>
        </w:rPr>
      </w:pPr>
      <w:r w:rsidRPr="002C3D8C">
        <w:rPr>
          <w:b/>
          <w:u w:val="single"/>
        </w:rPr>
        <w:t>ARTÍCULO 4°.-</w:t>
      </w:r>
      <w:r w:rsidRPr="002C3D8C">
        <w:t xml:space="preserve"> Comuníquese por el Superior Tribunal de Justicia al Poder Ejecutivo, la estimación de partidas necesarias para la puesta en funcionamiento y operatividad</w:t>
      </w:r>
      <w:r>
        <w:t xml:space="preserve"> del organismo modificado</w:t>
      </w:r>
      <w:r w:rsidRPr="002C3D8C">
        <w:t xml:space="preserve"> por la presente </w:t>
      </w:r>
      <w:r w:rsidR="00AD4792">
        <w:t>l</w:t>
      </w:r>
      <w:r w:rsidRPr="002C3D8C">
        <w:t>ey</w:t>
      </w:r>
      <w:r>
        <w:t xml:space="preserve"> y de acuerdo a su nueva estructura</w:t>
      </w:r>
      <w:r w:rsidRPr="002C3D8C">
        <w:t>, a fin de prever en el presupuesto anual de</w:t>
      </w:r>
      <w:r w:rsidR="00756884">
        <w:t xml:space="preserve">l sector público provincial, el </w:t>
      </w:r>
      <w:r w:rsidRPr="002C3D8C">
        <w:t>incremento asignado al Poder Judicial para tal fin.</w:t>
      </w:r>
    </w:p>
    <w:p w14:paraId="3C5DF872" w14:textId="77777777" w:rsidR="002C3D8C" w:rsidRPr="002C3D8C" w:rsidRDefault="002C3D8C" w:rsidP="00756884">
      <w:pPr>
        <w:pBdr>
          <w:top w:val="single" w:sz="4" w:space="1" w:color="auto"/>
          <w:left w:val="single" w:sz="4" w:space="4" w:color="auto"/>
          <w:bottom w:val="single" w:sz="4" w:space="1" w:color="auto"/>
          <w:right w:val="single" w:sz="4" w:space="4" w:color="auto"/>
        </w:pBdr>
        <w:spacing w:line="360" w:lineRule="auto"/>
        <w:ind w:firstLine="708"/>
        <w:jc w:val="both"/>
        <w:rPr>
          <w:b/>
          <w:u w:val="single"/>
        </w:rPr>
      </w:pPr>
    </w:p>
    <w:p w14:paraId="7C110839" w14:textId="263CA1F3" w:rsidR="002C3D8C" w:rsidRPr="002C3D8C" w:rsidRDefault="002C3D8C" w:rsidP="00756884">
      <w:pPr>
        <w:pBdr>
          <w:top w:val="single" w:sz="4" w:space="1" w:color="auto"/>
          <w:left w:val="single" w:sz="4" w:space="4" w:color="auto"/>
          <w:bottom w:val="single" w:sz="4" w:space="1" w:color="auto"/>
          <w:right w:val="single" w:sz="4" w:space="4" w:color="auto"/>
        </w:pBdr>
        <w:spacing w:line="360" w:lineRule="auto"/>
        <w:ind w:firstLine="708"/>
        <w:jc w:val="both"/>
        <w:rPr>
          <w:b/>
          <w:u w:val="single"/>
        </w:rPr>
      </w:pPr>
      <w:r w:rsidRPr="002C3D8C">
        <w:rPr>
          <w:b/>
          <w:u w:val="single"/>
        </w:rPr>
        <w:t xml:space="preserve">ARTÍCULO </w:t>
      </w:r>
      <w:r>
        <w:rPr>
          <w:b/>
          <w:u w:val="single"/>
        </w:rPr>
        <w:t>5</w:t>
      </w:r>
      <w:r w:rsidRPr="002C3D8C">
        <w:rPr>
          <w:b/>
          <w:u w:val="single"/>
        </w:rPr>
        <w:t>°.-</w:t>
      </w:r>
      <w:r w:rsidRPr="002C3D8C">
        <w:t xml:space="preserve"> </w:t>
      </w:r>
      <w:proofErr w:type="spellStart"/>
      <w:r w:rsidRPr="002C3D8C">
        <w:t>Autorízase</w:t>
      </w:r>
      <w:proofErr w:type="spellEnd"/>
      <w:r w:rsidRPr="002C3D8C">
        <w:t xml:space="preserve"> al Poder Ejecutivo a realizar modificaciones, adecuaciones y restauraciones en el Presupuesto General de la Provincia, a los fines de cumplimentar con lo establecido en la presente </w:t>
      </w:r>
      <w:r w:rsidR="00013ECD">
        <w:t>l</w:t>
      </w:r>
      <w:r w:rsidRPr="002C3D8C">
        <w:t>ey.</w:t>
      </w:r>
    </w:p>
    <w:p w14:paraId="71064405" w14:textId="77777777" w:rsidR="002C3D8C" w:rsidRDefault="002C3D8C" w:rsidP="00756884">
      <w:pPr>
        <w:pBdr>
          <w:top w:val="single" w:sz="4" w:space="1" w:color="auto"/>
          <w:left w:val="single" w:sz="4" w:space="4" w:color="auto"/>
          <w:bottom w:val="single" w:sz="4" w:space="1" w:color="auto"/>
          <w:right w:val="single" w:sz="4" w:space="4" w:color="auto"/>
        </w:pBdr>
        <w:spacing w:line="360" w:lineRule="auto"/>
        <w:jc w:val="both"/>
        <w:rPr>
          <w:color w:val="FF0000"/>
        </w:rPr>
      </w:pPr>
    </w:p>
    <w:p w14:paraId="578A2973" w14:textId="0954C514" w:rsidR="00F3723D" w:rsidRDefault="00F3723D" w:rsidP="00756884">
      <w:pPr>
        <w:pBdr>
          <w:top w:val="single" w:sz="4" w:space="1" w:color="auto"/>
          <w:left w:val="single" w:sz="4" w:space="4" w:color="auto"/>
          <w:bottom w:val="single" w:sz="4" w:space="1" w:color="auto"/>
          <w:right w:val="single" w:sz="4" w:space="4" w:color="auto"/>
        </w:pBdr>
        <w:spacing w:line="360" w:lineRule="auto"/>
        <w:ind w:firstLine="708"/>
        <w:jc w:val="both"/>
      </w:pPr>
      <w:r>
        <w:rPr>
          <w:b/>
          <w:u w:val="single"/>
        </w:rPr>
        <w:t xml:space="preserve">ARTÍCULO </w:t>
      </w:r>
      <w:r w:rsidR="002C3D8C">
        <w:rPr>
          <w:b/>
          <w:u w:val="single"/>
        </w:rPr>
        <w:t>6</w:t>
      </w:r>
      <w:r>
        <w:rPr>
          <w:b/>
          <w:u w:val="single"/>
        </w:rPr>
        <w:t xml:space="preserve">°.- </w:t>
      </w:r>
      <w:r w:rsidR="00D5674F">
        <w:t xml:space="preserve"> </w:t>
      </w:r>
      <w:r>
        <w:t>Comuníquese</w:t>
      </w:r>
      <w:r w:rsidR="00D36B23">
        <w:t xml:space="preserve"> al Consejo de la Magistratura de entre Ríos a efectos de su cobertura definitiva. </w:t>
      </w:r>
    </w:p>
    <w:p w14:paraId="14194D56" w14:textId="29B89125" w:rsidR="00D36B23" w:rsidRDefault="00D36B23" w:rsidP="00756884">
      <w:pPr>
        <w:pBdr>
          <w:top w:val="single" w:sz="4" w:space="1" w:color="auto"/>
          <w:left w:val="single" w:sz="4" w:space="4" w:color="auto"/>
          <w:bottom w:val="single" w:sz="4" w:space="1" w:color="auto"/>
          <w:right w:val="single" w:sz="4" w:space="4" w:color="auto"/>
        </w:pBdr>
        <w:spacing w:line="360" w:lineRule="auto"/>
        <w:ind w:firstLine="708"/>
        <w:jc w:val="both"/>
      </w:pPr>
    </w:p>
    <w:p w14:paraId="28A4F50F" w14:textId="3379A844" w:rsidR="00D36B23" w:rsidRDefault="00D36B23" w:rsidP="00756884">
      <w:pPr>
        <w:pBdr>
          <w:top w:val="single" w:sz="4" w:space="1" w:color="auto"/>
          <w:left w:val="single" w:sz="4" w:space="4" w:color="auto"/>
          <w:bottom w:val="single" w:sz="4" w:space="1" w:color="auto"/>
          <w:right w:val="single" w:sz="4" w:space="4" w:color="auto"/>
        </w:pBdr>
        <w:spacing w:line="360" w:lineRule="auto"/>
        <w:ind w:firstLine="708"/>
        <w:jc w:val="both"/>
      </w:pPr>
      <w:r w:rsidRPr="00D36B23">
        <w:rPr>
          <w:b/>
          <w:bCs/>
          <w:u w:val="single"/>
        </w:rPr>
        <w:t>ARTÍCULO 7</w:t>
      </w:r>
      <w:r w:rsidRPr="00D36B23">
        <w:rPr>
          <w:u w:val="single"/>
        </w:rPr>
        <w:t>°.-</w:t>
      </w:r>
      <w:r>
        <w:t xml:space="preserve"> Comuníquese, etcétera.-</w:t>
      </w:r>
    </w:p>
    <w:p w14:paraId="3DEA41AF" w14:textId="13FA7684" w:rsidR="003250B0" w:rsidRDefault="003250B0">
      <w:pPr>
        <w:suppressAutoHyphens w:val="0"/>
        <w:spacing w:after="160" w:line="259" w:lineRule="auto"/>
      </w:pPr>
      <w:r>
        <w:br w:type="page"/>
      </w:r>
    </w:p>
    <w:p w14:paraId="6C23D062" w14:textId="77777777" w:rsidR="003250B0" w:rsidRPr="005A09DB" w:rsidRDefault="003250B0" w:rsidP="003250B0">
      <w:pPr>
        <w:spacing w:line="360" w:lineRule="auto"/>
        <w:rPr>
          <w:rFonts w:ascii="Arial" w:hAnsi="Arial" w:cs="Arial"/>
          <w:szCs w:val="20"/>
        </w:rPr>
      </w:pPr>
      <w:r w:rsidRPr="005A09DB">
        <w:rPr>
          <w:rFonts w:ascii="Arial" w:hAnsi="Arial" w:cs="Arial"/>
          <w:b/>
          <w:szCs w:val="20"/>
        </w:rPr>
        <w:lastRenderedPageBreak/>
        <w:t xml:space="preserve">OFICIO Nº     </w:t>
      </w:r>
      <w:r w:rsidRPr="005A09DB">
        <w:rPr>
          <w:rFonts w:ascii="Arial" w:hAnsi="Arial" w:cs="Arial"/>
          <w:b/>
          <w:szCs w:val="20"/>
        </w:rPr>
        <w:tab/>
        <w:t xml:space="preserve">          </w:t>
      </w:r>
      <w:r w:rsidRPr="005A09DB">
        <w:rPr>
          <w:rFonts w:ascii="Arial" w:hAnsi="Arial" w:cs="Arial"/>
          <w:szCs w:val="20"/>
        </w:rPr>
        <w:tab/>
      </w:r>
      <w:r w:rsidRPr="005A09DB">
        <w:rPr>
          <w:rFonts w:ascii="Arial" w:hAnsi="Arial" w:cs="Arial"/>
          <w:szCs w:val="20"/>
        </w:rPr>
        <w:tab/>
      </w:r>
      <w:r w:rsidRPr="005A09DB">
        <w:rPr>
          <w:rFonts w:ascii="Arial" w:hAnsi="Arial" w:cs="Arial"/>
          <w:szCs w:val="20"/>
        </w:rPr>
        <w:tab/>
        <w:t xml:space="preserve">        </w:t>
      </w:r>
      <w:r>
        <w:rPr>
          <w:rFonts w:ascii="Arial" w:hAnsi="Arial" w:cs="Arial"/>
          <w:szCs w:val="20"/>
        </w:rPr>
        <w:t xml:space="preserve">              PARANÁ, 27 de agosto de 2019</w:t>
      </w:r>
      <w:r w:rsidRPr="005A09DB">
        <w:rPr>
          <w:rFonts w:ascii="Arial" w:hAnsi="Arial" w:cs="Arial"/>
          <w:szCs w:val="20"/>
        </w:rPr>
        <w:t>.-</w:t>
      </w:r>
    </w:p>
    <w:p w14:paraId="34FE26C7" w14:textId="77777777" w:rsidR="003250B0" w:rsidRPr="005A09DB" w:rsidRDefault="003250B0" w:rsidP="003250B0">
      <w:pPr>
        <w:widowControl w:val="0"/>
        <w:spacing w:line="360" w:lineRule="auto"/>
        <w:jc w:val="both"/>
        <w:rPr>
          <w:rFonts w:ascii="Arial" w:hAnsi="Arial" w:cs="Arial"/>
          <w:szCs w:val="20"/>
        </w:rPr>
      </w:pPr>
    </w:p>
    <w:p w14:paraId="15227EC8" w14:textId="77777777" w:rsidR="003250B0" w:rsidRDefault="003250B0" w:rsidP="003250B0">
      <w:pPr>
        <w:widowControl w:val="0"/>
        <w:spacing w:line="360" w:lineRule="auto"/>
        <w:rPr>
          <w:rFonts w:ascii="Arial" w:hAnsi="Arial" w:cs="Arial"/>
          <w:szCs w:val="20"/>
        </w:rPr>
      </w:pPr>
    </w:p>
    <w:p w14:paraId="67667401" w14:textId="77777777" w:rsidR="003250B0" w:rsidRDefault="003250B0" w:rsidP="003250B0">
      <w:pPr>
        <w:widowControl w:val="0"/>
        <w:spacing w:line="360" w:lineRule="auto"/>
        <w:rPr>
          <w:rFonts w:ascii="Arial" w:hAnsi="Arial" w:cs="Arial"/>
          <w:szCs w:val="20"/>
        </w:rPr>
      </w:pPr>
      <w:r w:rsidRPr="005A09DB">
        <w:rPr>
          <w:rFonts w:ascii="Arial" w:hAnsi="Arial" w:cs="Arial"/>
          <w:szCs w:val="20"/>
        </w:rPr>
        <w:t xml:space="preserve">AL SEÑOR </w:t>
      </w:r>
      <w:r>
        <w:rPr>
          <w:rFonts w:ascii="Arial" w:hAnsi="Arial" w:cs="Arial"/>
          <w:szCs w:val="20"/>
        </w:rPr>
        <w:t>PRESIDENTE</w:t>
      </w:r>
    </w:p>
    <w:p w14:paraId="607D30CA" w14:textId="77777777" w:rsidR="003250B0" w:rsidRDefault="003250B0" w:rsidP="003250B0">
      <w:pPr>
        <w:widowControl w:val="0"/>
        <w:spacing w:line="360" w:lineRule="auto"/>
        <w:rPr>
          <w:rFonts w:ascii="Arial" w:hAnsi="Arial" w:cs="Arial"/>
          <w:szCs w:val="20"/>
        </w:rPr>
      </w:pPr>
      <w:r>
        <w:rPr>
          <w:rFonts w:ascii="Arial" w:hAnsi="Arial" w:cs="Arial"/>
          <w:szCs w:val="20"/>
        </w:rPr>
        <w:t xml:space="preserve">DE LA HONORABLE CÁMARA DE SENADORES </w:t>
      </w:r>
    </w:p>
    <w:p w14:paraId="3DC59AD6" w14:textId="77777777" w:rsidR="003250B0" w:rsidRPr="005A09DB" w:rsidRDefault="003250B0" w:rsidP="003250B0">
      <w:pPr>
        <w:widowControl w:val="0"/>
        <w:spacing w:line="360" w:lineRule="auto"/>
        <w:rPr>
          <w:rFonts w:ascii="Arial" w:hAnsi="Arial" w:cs="Arial"/>
          <w:szCs w:val="20"/>
        </w:rPr>
      </w:pPr>
      <w:r>
        <w:rPr>
          <w:rFonts w:ascii="Arial" w:hAnsi="Arial" w:cs="Arial"/>
          <w:szCs w:val="20"/>
        </w:rPr>
        <w:t>DE LA PROVINCIA DE ENTRE RÍOS</w:t>
      </w:r>
    </w:p>
    <w:p w14:paraId="60D1DB55" w14:textId="77777777" w:rsidR="003250B0" w:rsidRPr="005A09DB" w:rsidRDefault="003250B0" w:rsidP="003250B0">
      <w:pPr>
        <w:widowControl w:val="0"/>
        <w:spacing w:line="360" w:lineRule="auto"/>
        <w:rPr>
          <w:rFonts w:ascii="Arial" w:hAnsi="Arial" w:cs="Arial"/>
          <w:b/>
          <w:szCs w:val="20"/>
        </w:rPr>
      </w:pPr>
      <w:r>
        <w:rPr>
          <w:rFonts w:ascii="Arial" w:hAnsi="Arial" w:cs="Arial"/>
          <w:b/>
          <w:szCs w:val="20"/>
        </w:rPr>
        <w:t xml:space="preserve">Cr. </w:t>
      </w:r>
      <w:r w:rsidRPr="005B170F">
        <w:rPr>
          <w:rFonts w:ascii="Arial" w:hAnsi="Arial" w:cs="Arial"/>
          <w:b/>
          <w:szCs w:val="20"/>
        </w:rPr>
        <w:t>ADÁN HUMBERTO</w:t>
      </w:r>
      <w:r>
        <w:rPr>
          <w:rFonts w:ascii="Arial" w:hAnsi="Arial" w:cs="Arial"/>
          <w:b/>
          <w:szCs w:val="20"/>
        </w:rPr>
        <w:t xml:space="preserve"> BAHL</w:t>
      </w:r>
    </w:p>
    <w:p w14:paraId="6DD832AE" w14:textId="77777777" w:rsidR="003250B0" w:rsidRPr="005A09DB" w:rsidRDefault="003250B0" w:rsidP="003250B0">
      <w:pPr>
        <w:widowControl w:val="0"/>
        <w:spacing w:line="360" w:lineRule="auto"/>
        <w:rPr>
          <w:rFonts w:ascii="Arial" w:hAnsi="Arial" w:cs="Arial"/>
          <w:b/>
          <w:szCs w:val="20"/>
          <w:u w:val="single"/>
        </w:rPr>
      </w:pPr>
      <w:r w:rsidRPr="005A09DB">
        <w:rPr>
          <w:rFonts w:ascii="Arial" w:hAnsi="Arial" w:cs="Arial"/>
          <w:b/>
          <w:szCs w:val="20"/>
          <w:u w:val="single"/>
        </w:rPr>
        <w:t>SU DESPACHO</w:t>
      </w:r>
    </w:p>
    <w:p w14:paraId="1A1D1F25" w14:textId="77777777" w:rsidR="003250B0" w:rsidRDefault="003250B0" w:rsidP="003250B0">
      <w:pPr>
        <w:widowControl w:val="0"/>
        <w:spacing w:line="360" w:lineRule="auto"/>
        <w:rPr>
          <w:rFonts w:ascii="Arial" w:hAnsi="Arial" w:cs="Arial"/>
          <w:b/>
          <w:szCs w:val="20"/>
        </w:rPr>
      </w:pPr>
    </w:p>
    <w:p w14:paraId="6A409180" w14:textId="77777777" w:rsidR="003250B0" w:rsidRPr="005A09DB" w:rsidRDefault="003250B0" w:rsidP="003250B0">
      <w:pPr>
        <w:widowControl w:val="0"/>
        <w:spacing w:line="360" w:lineRule="auto"/>
        <w:rPr>
          <w:rFonts w:ascii="Arial" w:hAnsi="Arial" w:cs="Arial"/>
          <w:b/>
          <w:szCs w:val="20"/>
        </w:rPr>
      </w:pPr>
    </w:p>
    <w:p w14:paraId="4A1ACB25" w14:textId="77777777" w:rsidR="003250B0" w:rsidRDefault="003250B0" w:rsidP="003250B0">
      <w:pPr>
        <w:spacing w:line="360" w:lineRule="auto"/>
        <w:jc w:val="both"/>
        <w:rPr>
          <w:rFonts w:ascii="Arial" w:hAnsi="Arial" w:cs="Arial"/>
        </w:rPr>
      </w:pPr>
      <w:r w:rsidRPr="0035613D">
        <w:rPr>
          <w:rFonts w:ascii="Arial" w:hAnsi="Arial" w:cs="Arial"/>
          <w:b/>
        </w:rPr>
        <w:t xml:space="preserve">                 </w:t>
      </w:r>
      <w:r>
        <w:rPr>
          <w:rFonts w:ascii="Arial" w:hAnsi="Arial" w:cs="Arial"/>
          <w:b/>
        </w:rPr>
        <w:tab/>
        <w:t xml:space="preserve">     </w:t>
      </w:r>
      <w:r w:rsidRPr="00FB2E4A">
        <w:rPr>
          <w:rFonts w:ascii="Arial" w:hAnsi="Arial" w:cs="Arial"/>
        </w:rPr>
        <w:t>En mi carác</w:t>
      </w:r>
      <w:r>
        <w:rPr>
          <w:rFonts w:ascii="Arial" w:hAnsi="Arial" w:cs="Arial"/>
        </w:rPr>
        <w:t>ter de Presidente</w:t>
      </w:r>
      <w:r w:rsidRPr="00FB2E4A">
        <w:rPr>
          <w:rFonts w:ascii="Arial" w:hAnsi="Arial" w:cs="Arial"/>
        </w:rPr>
        <w:t xml:space="preserve"> del Superior Tribunal de Justicia de Entre Ríos, tengo el agrado de dirigirme a Ud. y, por su intermedio, a los demás Legisladores que integran la Cámara que dignamente preside, en cumplimiento de lo dispuesto por el Alto Cuerpo mediante </w:t>
      </w:r>
      <w:r>
        <w:rPr>
          <w:rFonts w:ascii="Arial" w:hAnsi="Arial" w:cs="Arial"/>
        </w:rPr>
        <w:t>Acuerdo General Nº 25/19</w:t>
      </w:r>
      <w:r w:rsidRPr="00FB2E4A">
        <w:rPr>
          <w:rFonts w:ascii="Arial" w:hAnsi="Arial" w:cs="Arial"/>
        </w:rPr>
        <w:t xml:space="preserve"> del</w:t>
      </w:r>
      <w:r>
        <w:rPr>
          <w:rFonts w:ascii="Arial" w:hAnsi="Arial" w:cs="Arial"/>
        </w:rPr>
        <w:t xml:space="preserve"> 27-08-19, Puntos 1º) y 2º); a fin de remitir los anteproyectos de ley que se adjuntan, con su exposición de motivos, relativos a materia vinculada con la organización judicial -artículo 123 de la Constitución de la Provincia de Entre Ríos-.</w:t>
      </w:r>
    </w:p>
    <w:p w14:paraId="00F016A6" w14:textId="77777777" w:rsidR="003250B0" w:rsidRDefault="003250B0" w:rsidP="003250B0">
      <w:pPr>
        <w:spacing w:line="360" w:lineRule="auto"/>
        <w:ind w:firstLine="708"/>
        <w:jc w:val="both"/>
        <w:rPr>
          <w:rFonts w:ascii="Arial" w:eastAsia="Calibri" w:hAnsi="Arial" w:cs="Arial"/>
        </w:rPr>
      </w:pPr>
      <w:r>
        <w:rPr>
          <w:rFonts w:ascii="Arial" w:eastAsia="Calibri" w:hAnsi="Arial" w:cs="Arial"/>
        </w:rPr>
        <w:tab/>
        <w:t xml:space="preserve">      Los mismos, tienen por objeto regularizar en el aspecto legislativo dos situaciones puntuales de cargos y funciones actualmente en ejercicio, a saber: la modificación del número de vocalías que integran el Tribunal de Juicio y Apelaciones, y la creación del Juzgado de Garantías Nº 4, ambos de la jurisdicción Concordia y con asiento en dicha ciudad.</w:t>
      </w:r>
    </w:p>
    <w:p w14:paraId="15A1875E" w14:textId="77777777" w:rsidR="003250B0" w:rsidRDefault="003250B0" w:rsidP="003250B0">
      <w:pPr>
        <w:spacing w:line="360" w:lineRule="auto"/>
        <w:ind w:firstLine="708"/>
        <w:jc w:val="both"/>
        <w:rPr>
          <w:rFonts w:ascii="Arial" w:eastAsia="Calibri" w:hAnsi="Arial" w:cs="Arial"/>
        </w:rPr>
      </w:pPr>
      <w:r>
        <w:rPr>
          <w:rFonts w:ascii="Arial" w:eastAsia="Calibri" w:hAnsi="Arial" w:cs="Arial"/>
        </w:rPr>
        <w:tab/>
        <w:t xml:space="preserve">      Las propuestas que se acompañan responden a planteos e inquietudes vertidas por integrantes de este Alto Cuerpo en el marco de Acuerdos Generales, y tienden a regularizar estructuras orgánicas ya instaladas por decisión de este Superior Tribunal de Justicia, </w:t>
      </w:r>
      <w:r w:rsidRPr="00D22420">
        <w:rPr>
          <w:rFonts w:ascii="Arial" w:hAnsi="Arial" w:cs="Arial"/>
        </w:rPr>
        <w:t xml:space="preserve">a partir del ejercicio de </w:t>
      </w:r>
      <w:r>
        <w:rPr>
          <w:rFonts w:ascii="Arial" w:hAnsi="Arial" w:cs="Arial"/>
        </w:rPr>
        <w:t>funciones de superintendencia -</w:t>
      </w:r>
      <w:r w:rsidRPr="00D22420">
        <w:rPr>
          <w:rFonts w:ascii="Arial" w:hAnsi="Arial" w:cs="Arial"/>
        </w:rPr>
        <w:t>artículo 204 de la C.P, 37 de la Ley 6902 Orgánica del Poder Judicial y normas pertinent</w:t>
      </w:r>
      <w:r>
        <w:rPr>
          <w:rFonts w:ascii="Arial" w:hAnsi="Arial" w:cs="Arial"/>
        </w:rPr>
        <w:t>es de las  leyes de presupuesto.</w:t>
      </w:r>
    </w:p>
    <w:p w14:paraId="70D2E94E" w14:textId="77777777" w:rsidR="003250B0" w:rsidRDefault="003250B0" w:rsidP="003250B0">
      <w:pPr>
        <w:spacing w:line="360" w:lineRule="auto"/>
        <w:ind w:firstLine="708"/>
        <w:jc w:val="both"/>
        <w:rPr>
          <w:rFonts w:ascii="Arial" w:eastAsia="Calibri" w:hAnsi="Arial" w:cs="Arial"/>
        </w:rPr>
      </w:pPr>
      <w:r>
        <w:rPr>
          <w:rFonts w:ascii="Arial" w:eastAsia="Calibri" w:hAnsi="Arial" w:cs="Arial"/>
        </w:rPr>
        <w:t xml:space="preserve">                De este modo, se posibilitará y asegurará la cobertura de los cargos involucrados a través del procedimiento constitucional previsto, a la mayor brevedad.</w:t>
      </w:r>
    </w:p>
    <w:p w14:paraId="664D379A" w14:textId="77777777" w:rsidR="003250B0" w:rsidRPr="005B170F" w:rsidRDefault="003250B0" w:rsidP="003250B0">
      <w:pPr>
        <w:spacing w:line="360" w:lineRule="auto"/>
        <w:ind w:firstLine="708"/>
        <w:jc w:val="both"/>
        <w:rPr>
          <w:rFonts w:ascii="Arial" w:hAnsi="Arial" w:cs="Arial"/>
        </w:rPr>
      </w:pPr>
      <w:r>
        <w:rPr>
          <w:rStyle w:val="Ninguno"/>
          <w:rFonts w:ascii="Arial" w:hAnsi="Arial"/>
          <w:lang w:val="pt-PT"/>
        </w:rPr>
        <w:t xml:space="preserve">                En virtud de lo expuesto</w:t>
      </w:r>
      <w:r w:rsidRPr="00FB2E4A">
        <w:rPr>
          <w:rStyle w:val="Ninguno"/>
          <w:rFonts w:ascii="Arial" w:hAnsi="Arial"/>
          <w:lang w:val="pt-PT"/>
        </w:rPr>
        <w:t>, se acompaña</w:t>
      </w:r>
      <w:r>
        <w:rPr>
          <w:rStyle w:val="Ninguno"/>
          <w:rFonts w:ascii="Arial" w:hAnsi="Arial"/>
          <w:lang w:val="pt-PT"/>
        </w:rPr>
        <w:t>n los</w:t>
      </w:r>
      <w:r w:rsidRPr="00FB2E4A">
        <w:rPr>
          <w:rStyle w:val="Ninguno"/>
          <w:rFonts w:ascii="Arial" w:hAnsi="Arial"/>
          <w:lang w:val="pt-PT"/>
        </w:rPr>
        <w:t xml:space="preserve"> mencionado</w:t>
      </w:r>
      <w:r>
        <w:rPr>
          <w:rStyle w:val="Ninguno"/>
          <w:rFonts w:ascii="Arial" w:hAnsi="Arial"/>
          <w:lang w:val="pt-PT"/>
        </w:rPr>
        <w:t>s p</w:t>
      </w:r>
      <w:r w:rsidRPr="00FB2E4A">
        <w:rPr>
          <w:rStyle w:val="Ninguno"/>
          <w:rFonts w:ascii="Arial" w:hAnsi="Arial"/>
          <w:lang w:val="pt-PT"/>
        </w:rPr>
        <w:t>royecto</w:t>
      </w:r>
      <w:r>
        <w:rPr>
          <w:rStyle w:val="Ninguno"/>
          <w:rFonts w:ascii="Arial" w:hAnsi="Arial"/>
          <w:lang w:val="pt-PT"/>
        </w:rPr>
        <w:t>s</w:t>
      </w:r>
      <w:r w:rsidRPr="00FB2E4A">
        <w:rPr>
          <w:rStyle w:val="Ninguno"/>
          <w:rFonts w:ascii="Arial" w:hAnsi="Arial"/>
          <w:lang w:val="pt-PT"/>
        </w:rPr>
        <w:t xml:space="preserve"> y su exposición de motivos</w:t>
      </w:r>
      <w:r>
        <w:rPr>
          <w:rStyle w:val="Ninguno"/>
          <w:rFonts w:ascii="Arial" w:hAnsi="Arial"/>
          <w:lang w:val="pt-PT"/>
        </w:rPr>
        <w:t xml:space="preserve"> en 3 </w:t>
      </w:r>
      <w:r w:rsidRPr="00FB2E4A">
        <w:rPr>
          <w:rStyle w:val="Ninguno"/>
          <w:rFonts w:ascii="Arial" w:hAnsi="Arial"/>
          <w:lang w:val="pt-PT"/>
        </w:rPr>
        <w:t>fs., para</w:t>
      </w:r>
      <w:r w:rsidRPr="00FB2E4A">
        <w:rPr>
          <w:rFonts w:ascii="Arial" w:hAnsi="Arial" w:cs="Arial"/>
        </w:rPr>
        <w:t xml:space="preserve"> su consideración legislativa conforme al trámite constitucional previsto -Art. 123 ss</w:t>
      </w:r>
      <w:r>
        <w:rPr>
          <w:rFonts w:ascii="Arial" w:hAnsi="Arial" w:cs="Arial"/>
        </w:rPr>
        <w:t>.</w:t>
      </w:r>
      <w:r w:rsidRPr="00FB2E4A">
        <w:rPr>
          <w:rFonts w:ascii="Arial" w:hAnsi="Arial" w:cs="Arial"/>
        </w:rPr>
        <w:t xml:space="preserve"> </w:t>
      </w:r>
      <w:proofErr w:type="gramStart"/>
      <w:r w:rsidRPr="00FB2E4A">
        <w:rPr>
          <w:rFonts w:ascii="Arial" w:hAnsi="Arial" w:cs="Arial"/>
        </w:rPr>
        <w:t>y</w:t>
      </w:r>
      <w:proofErr w:type="gramEnd"/>
      <w:r w:rsidRPr="00FB2E4A">
        <w:rPr>
          <w:rFonts w:ascii="Arial" w:hAnsi="Arial" w:cs="Arial"/>
        </w:rPr>
        <w:t xml:space="preserve"> cc</w:t>
      </w:r>
      <w:r>
        <w:rPr>
          <w:rFonts w:ascii="Arial" w:hAnsi="Arial" w:cs="Arial"/>
        </w:rPr>
        <w:t xml:space="preserve"> de la Constitución Provincial-.</w:t>
      </w:r>
    </w:p>
    <w:p w14:paraId="3B5B0482" w14:textId="77777777" w:rsidR="003250B0" w:rsidRPr="00DD323C" w:rsidRDefault="003250B0" w:rsidP="003250B0">
      <w:pPr>
        <w:spacing w:line="360" w:lineRule="auto"/>
        <w:ind w:firstLine="708"/>
        <w:jc w:val="both"/>
        <w:rPr>
          <w:rFonts w:ascii="Arial" w:eastAsia="Calibri" w:hAnsi="Arial" w:cs="Arial"/>
        </w:rPr>
      </w:pPr>
      <w:r>
        <w:rPr>
          <w:rFonts w:ascii="Arial" w:eastAsia="Calibri" w:hAnsi="Arial" w:cs="Arial"/>
        </w:rPr>
        <w:t xml:space="preserve">                Con la clara convicción de que la propuesta mejorará y brindará mayor eficiencia al servicio de justicia, saludo a Ud. con distinguida consideración.-   </w:t>
      </w:r>
      <w:r w:rsidRPr="005A09DB">
        <w:rPr>
          <w:rFonts w:ascii="Arial" w:hAnsi="Arial" w:cs="Arial"/>
          <w:b/>
          <w:szCs w:val="20"/>
        </w:rPr>
        <w:tab/>
      </w:r>
    </w:p>
    <w:p w14:paraId="2DC8C8D8" w14:textId="77777777" w:rsidR="003250B0" w:rsidRPr="005A09DB" w:rsidRDefault="003250B0" w:rsidP="003250B0">
      <w:pPr>
        <w:spacing w:line="360" w:lineRule="auto"/>
        <w:jc w:val="both"/>
        <w:rPr>
          <w:rFonts w:ascii="Arial" w:hAnsi="Arial" w:cs="Arial"/>
          <w:b/>
          <w:sz w:val="20"/>
          <w:szCs w:val="20"/>
        </w:rPr>
      </w:pPr>
    </w:p>
    <w:p w14:paraId="0ACDC33D" w14:textId="77777777" w:rsidR="003250B0" w:rsidRDefault="003250B0" w:rsidP="003250B0">
      <w:pPr>
        <w:spacing w:line="360" w:lineRule="auto"/>
        <w:jc w:val="both"/>
        <w:rPr>
          <w:rFonts w:ascii="Arial" w:hAnsi="Arial" w:cs="Arial"/>
          <w:b/>
          <w:sz w:val="20"/>
          <w:szCs w:val="20"/>
        </w:rPr>
      </w:pPr>
    </w:p>
    <w:p w14:paraId="12C7BA8D" w14:textId="77777777" w:rsidR="003250B0" w:rsidRDefault="003250B0" w:rsidP="003250B0">
      <w:pPr>
        <w:spacing w:line="360" w:lineRule="auto"/>
        <w:jc w:val="both"/>
        <w:rPr>
          <w:rFonts w:ascii="Arial" w:hAnsi="Arial" w:cs="Arial"/>
          <w:b/>
          <w:sz w:val="20"/>
          <w:szCs w:val="20"/>
        </w:rPr>
      </w:pPr>
      <w:r>
        <w:rPr>
          <w:rFonts w:ascii="Arial" w:hAnsi="Arial" w:cs="Arial"/>
          <w:b/>
          <w:sz w:val="20"/>
          <w:szCs w:val="20"/>
        </w:rPr>
        <w:t>ES COPIA</w:t>
      </w:r>
    </w:p>
    <w:p w14:paraId="134C8054" w14:textId="77777777" w:rsidR="003250B0" w:rsidRDefault="003250B0" w:rsidP="003250B0">
      <w:pPr>
        <w:spacing w:line="360" w:lineRule="auto"/>
        <w:jc w:val="both"/>
        <w:rPr>
          <w:rFonts w:ascii="Arial" w:hAnsi="Arial" w:cs="Arial"/>
          <w:b/>
          <w:sz w:val="20"/>
          <w:szCs w:val="20"/>
        </w:rPr>
      </w:pPr>
    </w:p>
    <w:p w14:paraId="78E3C677" w14:textId="77777777" w:rsidR="003250B0" w:rsidRPr="005A09DB" w:rsidRDefault="003250B0" w:rsidP="003250B0">
      <w:pPr>
        <w:spacing w:line="360" w:lineRule="auto"/>
        <w:jc w:val="both"/>
        <w:rPr>
          <w:rFonts w:ascii="Arial" w:hAnsi="Arial" w:cs="Arial"/>
          <w:b/>
          <w:sz w:val="20"/>
          <w:szCs w:val="20"/>
        </w:rPr>
      </w:pPr>
    </w:p>
    <w:p w14:paraId="5541CD06" w14:textId="77777777" w:rsidR="003250B0" w:rsidRPr="005A09DB" w:rsidRDefault="003250B0" w:rsidP="003250B0">
      <w:pPr>
        <w:jc w:val="center"/>
        <w:rPr>
          <w:rFonts w:ascii="Constantia" w:eastAsia="Constantia" w:hAnsi="Constantia" w:cs="Constantia"/>
          <w:b/>
          <w:sz w:val="16"/>
          <w:szCs w:val="20"/>
        </w:rPr>
      </w:pPr>
      <w:r w:rsidRPr="005A09DB">
        <w:rPr>
          <w:rFonts w:ascii="Constantia" w:eastAsia="Constantia" w:hAnsi="Constantia" w:cs="Constantia"/>
          <w:b/>
          <w:szCs w:val="20"/>
        </w:rPr>
        <w:t xml:space="preserve">                                                                        </w:t>
      </w:r>
      <w:r>
        <w:rPr>
          <w:rFonts w:ascii="Constantia" w:eastAsia="Constantia" w:hAnsi="Constantia" w:cs="Constantia"/>
          <w:b/>
          <w:szCs w:val="20"/>
        </w:rPr>
        <w:t xml:space="preserve">                  </w:t>
      </w:r>
      <w:r w:rsidRPr="005A09DB">
        <w:rPr>
          <w:rFonts w:ascii="Constantia" w:hAnsi="Constantia" w:cs="Constantia"/>
          <w:b/>
          <w:szCs w:val="20"/>
        </w:rPr>
        <w:t>EMILIO A. E. CASTRILLON</w:t>
      </w:r>
    </w:p>
    <w:p w14:paraId="58633A84" w14:textId="77777777" w:rsidR="003250B0" w:rsidRPr="005A09DB" w:rsidRDefault="003250B0" w:rsidP="003250B0">
      <w:pPr>
        <w:jc w:val="center"/>
        <w:rPr>
          <w:rFonts w:ascii="Constantia" w:eastAsia="Constantia" w:hAnsi="Constantia" w:cs="Constantia"/>
          <w:b/>
          <w:sz w:val="16"/>
          <w:szCs w:val="20"/>
        </w:rPr>
      </w:pPr>
      <w:r w:rsidRPr="005A09DB">
        <w:rPr>
          <w:rFonts w:ascii="Constantia" w:eastAsia="Constantia" w:hAnsi="Constantia" w:cs="Constantia"/>
          <w:b/>
          <w:sz w:val="16"/>
          <w:szCs w:val="20"/>
        </w:rPr>
        <w:t xml:space="preserve">                                                                                                              </w:t>
      </w:r>
      <w:r>
        <w:rPr>
          <w:rFonts w:ascii="Constantia" w:eastAsia="Constantia" w:hAnsi="Constantia" w:cs="Constantia"/>
          <w:b/>
          <w:sz w:val="16"/>
          <w:szCs w:val="20"/>
        </w:rPr>
        <w:t xml:space="preserve">           </w:t>
      </w:r>
      <w:r w:rsidRPr="005A09DB">
        <w:rPr>
          <w:rFonts w:ascii="Constantia" w:eastAsia="Constantia" w:hAnsi="Constantia" w:cs="Constantia"/>
          <w:b/>
          <w:sz w:val="16"/>
          <w:szCs w:val="20"/>
        </w:rPr>
        <w:t xml:space="preserve"> </w:t>
      </w:r>
      <w:r w:rsidRPr="005A09DB">
        <w:rPr>
          <w:rFonts w:ascii="Constantia" w:hAnsi="Constantia" w:cs="Constantia"/>
          <w:b/>
          <w:sz w:val="16"/>
          <w:szCs w:val="20"/>
        </w:rPr>
        <w:t>SUPERIOR TRIBUNAL DE JUSTICIA</w:t>
      </w:r>
    </w:p>
    <w:p w14:paraId="71C8C3E6" w14:textId="77777777" w:rsidR="003250B0" w:rsidRPr="005A09DB" w:rsidRDefault="003250B0" w:rsidP="003250B0">
      <w:pPr>
        <w:jc w:val="center"/>
        <w:rPr>
          <w:rFonts w:ascii="Constantia" w:eastAsia="Constantia" w:hAnsi="Constantia" w:cs="Constantia"/>
          <w:b/>
          <w:sz w:val="16"/>
          <w:szCs w:val="20"/>
        </w:rPr>
      </w:pPr>
      <w:r w:rsidRPr="005A09DB">
        <w:rPr>
          <w:rFonts w:ascii="Constantia" w:eastAsia="Constantia" w:hAnsi="Constantia" w:cs="Constantia"/>
          <w:b/>
          <w:sz w:val="16"/>
          <w:szCs w:val="20"/>
        </w:rPr>
        <w:t xml:space="preserve">                                                                                                </w:t>
      </w:r>
      <w:r>
        <w:rPr>
          <w:rFonts w:ascii="Constantia" w:eastAsia="Constantia" w:hAnsi="Constantia" w:cs="Constantia"/>
          <w:b/>
          <w:sz w:val="16"/>
          <w:szCs w:val="20"/>
        </w:rPr>
        <w:t xml:space="preserve">                        </w:t>
      </w:r>
      <w:r w:rsidRPr="005A09DB">
        <w:rPr>
          <w:rFonts w:ascii="Constantia" w:hAnsi="Constantia" w:cs="Constantia"/>
          <w:b/>
          <w:sz w:val="16"/>
          <w:szCs w:val="20"/>
        </w:rPr>
        <w:t>PRESIDENTE</w:t>
      </w:r>
    </w:p>
    <w:p w14:paraId="3E10489D" w14:textId="77777777" w:rsidR="003250B0" w:rsidRPr="005A09DB" w:rsidRDefault="003250B0" w:rsidP="003250B0">
      <w:pPr>
        <w:ind w:left="4956" w:firstLine="708"/>
        <w:jc w:val="center"/>
        <w:rPr>
          <w:rFonts w:ascii="Constantia" w:eastAsia="Constantia" w:hAnsi="Constantia" w:cs="Constantia"/>
          <w:b/>
          <w:sz w:val="16"/>
          <w:szCs w:val="20"/>
        </w:rPr>
      </w:pPr>
    </w:p>
    <w:p w14:paraId="11BE84D5" w14:textId="77777777" w:rsidR="003250B0" w:rsidRDefault="003250B0" w:rsidP="003250B0">
      <w:pPr>
        <w:rPr>
          <w:rFonts w:ascii="Constantia" w:eastAsia="Constantia" w:hAnsi="Constantia" w:cs="Constantia"/>
          <w:b/>
          <w:sz w:val="16"/>
          <w:szCs w:val="20"/>
        </w:rPr>
      </w:pPr>
    </w:p>
    <w:p w14:paraId="54FA9208" w14:textId="77777777" w:rsidR="003250B0" w:rsidRDefault="003250B0" w:rsidP="003250B0">
      <w:pPr>
        <w:rPr>
          <w:rFonts w:ascii="Constantia" w:eastAsia="Constantia" w:hAnsi="Constantia" w:cs="Constantia"/>
          <w:b/>
          <w:sz w:val="16"/>
          <w:szCs w:val="20"/>
        </w:rPr>
      </w:pPr>
    </w:p>
    <w:p w14:paraId="2BC10EA8" w14:textId="77777777" w:rsidR="003250B0" w:rsidRDefault="003250B0" w:rsidP="003250B0">
      <w:pPr>
        <w:rPr>
          <w:rFonts w:ascii="Constantia" w:eastAsia="Constantia" w:hAnsi="Constantia" w:cs="Constantia"/>
          <w:b/>
          <w:sz w:val="16"/>
          <w:szCs w:val="20"/>
        </w:rPr>
      </w:pPr>
    </w:p>
    <w:p w14:paraId="285BFD07" w14:textId="77777777" w:rsidR="003250B0" w:rsidRPr="005A09DB" w:rsidRDefault="003250B0" w:rsidP="003250B0">
      <w:pPr>
        <w:rPr>
          <w:rFonts w:ascii="Constantia" w:eastAsia="Constantia" w:hAnsi="Constantia" w:cs="Constantia"/>
          <w:b/>
          <w:sz w:val="16"/>
          <w:szCs w:val="20"/>
        </w:rPr>
      </w:pPr>
    </w:p>
    <w:p w14:paraId="6C06BFA5" w14:textId="77777777" w:rsidR="003250B0" w:rsidRPr="005A09DB" w:rsidRDefault="003250B0" w:rsidP="003250B0">
      <w:pPr>
        <w:ind w:left="4956" w:firstLine="708"/>
        <w:jc w:val="center"/>
        <w:rPr>
          <w:rFonts w:ascii="Constantia" w:hAnsi="Constantia" w:cs="Constantia"/>
          <w:b/>
          <w:sz w:val="20"/>
          <w:szCs w:val="20"/>
        </w:rPr>
      </w:pPr>
      <w:r w:rsidRPr="005A09DB">
        <w:rPr>
          <w:rFonts w:ascii="Constantia" w:eastAsia="Constantia" w:hAnsi="Constantia" w:cs="Constantia"/>
          <w:b/>
          <w:sz w:val="16"/>
          <w:szCs w:val="20"/>
        </w:rPr>
        <w:t xml:space="preserve">       </w:t>
      </w:r>
    </w:p>
    <w:p w14:paraId="59F30F6E" w14:textId="77777777" w:rsidR="003250B0" w:rsidRPr="005A09DB" w:rsidRDefault="003250B0" w:rsidP="003250B0">
      <w:pPr>
        <w:tabs>
          <w:tab w:val="left" w:pos="4634"/>
        </w:tabs>
        <w:rPr>
          <w:rFonts w:ascii="Constantia" w:eastAsia="Constantia" w:hAnsi="Constantia" w:cs="Constantia"/>
          <w:b/>
          <w:sz w:val="16"/>
          <w:szCs w:val="20"/>
        </w:rPr>
      </w:pPr>
      <w:r w:rsidRPr="005A09DB">
        <w:rPr>
          <w:rFonts w:ascii="Constantia" w:eastAsia="Constantia" w:hAnsi="Constantia" w:cs="Constantia"/>
          <w:b/>
          <w:sz w:val="20"/>
          <w:szCs w:val="20"/>
        </w:rPr>
        <w:t xml:space="preserve">                                          </w:t>
      </w:r>
      <w:r w:rsidRPr="005A09DB">
        <w:rPr>
          <w:rFonts w:ascii="Constantia" w:hAnsi="Constantia" w:cs="Constantia"/>
          <w:b/>
          <w:sz w:val="20"/>
          <w:szCs w:val="20"/>
        </w:rPr>
        <w:t>ELENA SALOMÓN</w:t>
      </w:r>
    </w:p>
    <w:p w14:paraId="5CA3DDC7" w14:textId="77777777" w:rsidR="003250B0" w:rsidRPr="005A09DB" w:rsidRDefault="003250B0" w:rsidP="003250B0">
      <w:pPr>
        <w:tabs>
          <w:tab w:val="left" w:pos="4634"/>
        </w:tabs>
        <w:rPr>
          <w:rFonts w:ascii="Constantia" w:eastAsia="Constantia" w:hAnsi="Constantia" w:cs="Constantia"/>
          <w:b/>
          <w:sz w:val="18"/>
          <w:szCs w:val="20"/>
        </w:rPr>
      </w:pPr>
      <w:r w:rsidRPr="005A09DB">
        <w:rPr>
          <w:rFonts w:ascii="Constantia" w:eastAsia="Constantia" w:hAnsi="Constantia" w:cs="Constantia"/>
          <w:b/>
          <w:sz w:val="16"/>
          <w:szCs w:val="20"/>
        </w:rPr>
        <w:t xml:space="preserve">                                      </w:t>
      </w:r>
      <w:r w:rsidRPr="005A09DB">
        <w:rPr>
          <w:rFonts w:ascii="Constantia" w:hAnsi="Constantia" w:cs="Constantia"/>
          <w:b/>
          <w:sz w:val="16"/>
          <w:szCs w:val="20"/>
        </w:rPr>
        <w:t>SUPERIOR TRIBUNAL DE JUSTICIA</w:t>
      </w:r>
    </w:p>
    <w:p w14:paraId="15800DF0" w14:textId="77777777" w:rsidR="003250B0" w:rsidRDefault="003250B0" w:rsidP="003250B0">
      <w:pPr>
        <w:tabs>
          <w:tab w:val="left" w:pos="4634"/>
        </w:tabs>
        <w:rPr>
          <w:rFonts w:ascii="Constantia" w:hAnsi="Constantia" w:cs="Constantia"/>
          <w:b/>
          <w:sz w:val="16"/>
          <w:szCs w:val="20"/>
        </w:rPr>
      </w:pPr>
      <w:r w:rsidRPr="005A09DB">
        <w:rPr>
          <w:rFonts w:ascii="Constantia" w:eastAsia="Constantia" w:hAnsi="Constantia" w:cs="Constantia"/>
          <w:b/>
          <w:sz w:val="18"/>
          <w:szCs w:val="20"/>
        </w:rPr>
        <w:t xml:space="preserve">                                                    </w:t>
      </w:r>
      <w:r w:rsidRPr="005A09DB">
        <w:rPr>
          <w:rFonts w:ascii="Constantia" w:hAnsi="Constantia" w:cs="Constantia"/>
          <w:b/>
          <w:sz w:val="16"/>
          <w:szCs w:val="20"/>
        </w:rPr>
        <w:t>SECRETARIA</w:t>
      </w:r>
    </w:p>
    <w:p w14:paraId="6CA36037" w14:textId="77777777" w:rsidR="003250B0" w:rsidRDefault="003250B0" w:rsidP="003250B0">
      <w:pPr>
        <w:rPr>
          <w:rFonts w:ascii="Constantia" w:hAnsi="Constantia" w:cs="Constantia"/>
          <w:b/>
          <w:sz w:val="16"/>
          <w:szCs w:val="20"/>
        </w:rPr>
      </w:pPr>
      <w:r>
        <w:rPr>
          <w:rFonts w:ascii="Constantia" w:hAnsi="Constantia" w:cs="Constantia"/>
          <w:b/>
          <w:sz w:val="16"/>
          <w:szCs w:val="20"/>
        </w:rPr>
        <w:br w:type="page"/>
      </w:r>
    </w:p>
    <w:p w14:paraId="52AF0861"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rPr>
      </w:pPr>
      <w:r w:rsidRPr="003C71AE">
        <w:rPr>
          <w:rFonts w:ascii="Arial" w:hAnsi="Arial" w:cs="Arial"/>
          <w:b/>
          <w:bCs/>
        </w:rPr>
        <w:t>EXPOSICION DE MOTIVOS</w:t>
      </w:r>
    </w:p>
    <w:p w14:paraId="1FE14862"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Que por Ley N° 9754, se sancionó el nuevo Código Procesal Penal de la Provincia de Entre Ríos el que fue modificado íntegramente por la Ley 10.317.</w:t>
      </w:r>
    </w:p>
    <w:p w14:paraId="20A29498"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Que ante la necesidad de ordenar la implementación, el Poder Ejecutivo dictó el Decreto N° 4384/09 que fue ratificado por Ley 10.049 del año 2011, en el que se disponía la estructura orgánica de los nuevos Tribunales de Juicio y Apelaciones con asiento en las distintas jurisdicciones y los que ,sin excepción,  se conformaban con las Vocalías que integraban las Cámaras del Crimen del anterior sistema; con los cargos de Jueces Correccionales; y con cargos de Jueces de Instrucción que no se asignarían a la etapa de transición y a la garantía subsiguiente. </w:t>
      </w:r>
    </w:p>
    <w:p w14:paraId="182B5F84"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Que el cambio de sistema, demandó un proceso dinámico de marchas y contramarchas en el que se han debido adecuar las estructuras a las demandas que la </w:t>
      </w:r>
      <w:proofErr w:type="spellStart"/>
      <w:r w:rsidRPr="003C71AE">
        <w:rPr>
          <w:rFonts w:ascii="Arial" w:hAnsi="Arial" w:cs="Arial"/>
        </w:rPr>
        <w:t>litigiosidad</w:t>
      </w:r>
      <w:proofErr w:type="spellEnd"/>
      <w:r w:rsidRPr="003C71AE">
        <w:rPr>
          <w:rFonts w:ascii="Arial" w:hAnsi="Arial" w:cs="Arial"/>
        </w:rPr>
        <w:t xml:space="preserve"> penal presenta en cada jurisdicción. </w:t>
      </w:r>
    </w:p>
    <w:p w14:paraId="52FC0BB1"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Distintos factores hacen de Concordia una jurisdicción que requiere de una mejora en la organización originariamente asignada. Tanto la estadística judicial como la densidad poblacional, dan cuenta de un aumento considerable de la </w:t>
      </w:r>
      <w:proofErr w:type="spellStart"/>
      <w:r w:rsidRPr="003C71AE">
        <w:rPr>
          <w:rFonts w:ascii="Arial" w:hAnsi="Arial" w:cs="Arial"/>
        </w:rPr>
        <w:t>litigiosidad</w:t>
      </w:r>
      <w:proofErr w:type="spellEnd"/>
      <w:r w:rsidRPr="003C71AE">
        <w:rPr>
          <w:rFonts w:ascii="Arial" w:hAnsi="Arial" w:cs="Arial"/>
        </w:rPr>
        <w:t xml:space="preserve"> como correlato del incremento de conflictividad social. </w:t>
      </w:r>
    </w:p>
    <w:p w14:paraId="2A595CBE"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Estas necesidades han sido receptadas por el Superior Tribunal de Justicia en ejercicio de la función de Gobierno del Poder Judicial -Art. 204 de la Constitución de la Provincia de Entre Ríos y 37 de la Ley 6902 Orgánica del Poder Judicial- organismo que a partir del conocimiento directo de los datos que contribuyen a definir los lineamientos de política judicial, ha dispuesto la transformación de cargos que la ley habilita, con el objetivo de incrementar la cantidad de jueces del Tribunal de Juicio y Apelaciones, como así también la cantidad de Jueces de Garantías que entiendan en los procesos que allí se dilucidan.  </w:t>
      </w:r>
    </w:p>
    <w:p w14:paraId="4147BDE3"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Que tales modificaciones sean receptadas legislativamente, no sólo contribuye a sanear la previsión normativa de las estructuras orgánicas, sino que -por sobre todo- posibilita la cobertura de dic</w:t>
      </w:r>
      <w:r>
        <w:rPr>
          <w:rFonts w:ascii="Arial" w:hAnsi="Arial" w:cs="Arial"/>
        </w:rPr>
        <w:t>hos cargos por el procedimiento</w:t>
      </w:r>
      <w:r w:rsidRPr="003C71AE">
        <w:rPr>
          <w:rFonts w:ascii="Arial" w:hAnsi="Arial" w:cs="Arial"/>
        </w:rPr>
        <w:t xml:space="preserve"> constitucional previsto. </w:t>
      </w:r>
    </w:p>
    <w:p w14:paraId="784C97A3" w14:textId="77777777" w:rsidR="003250B0" w:rsidRPr="003C71AE" w:rsidRDefault="003250B0" w:rsidP="003250B0">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Por todo lo expuesto; </w:t>
      </w:r>
    </w:p>
    <w:p w14:paraId="2D6230D1" w14:textId="77777777" w:rsidR="003250B0" w:rsidRPr="000F5F8B" w:rsidRDefault="003250B0" w:rsidP="003250B0">
      <w:pPr>
        <w:tabs>
          <w:tab w:val="left" w:pos="4634"/>
        </w:tabs>
        <w:rPr>
          <w:rFonts w:ascii="Constantia" w:eastAsia="Constantia" w:hAnsi="Constantia" w:cs="Constantia"/>
          <w:b/>
          <w:sz w:val="18"/>
          <w:szCs w:val="20"/>
        </w:rPr>
      </w:pPr>
      <w:bookmarkStart w:id="0" w:name="_GoBack"/>
      <w:bookmarkEnd w:id="0"/>
    </w:p>
    <w:sectPr w:rsidR="003250B0" w:rsidRPr="000F5F8B" w:rsidSect="00756884">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6E"/>
    <w:rsid w:val="00013ECD"/>
    <w:rsid w:val="002C3D8C"/>
    <w:rsid w:val="003250B0"/>
    <w:rsid w:val="00372BB1"/>
    <w:rsid w:val="003B0B5A"/>
    <w:rsid w:val="005E14EB"/>
    <w:rsid w:val="00756884"/>
    <w:rsid w:val="008D593D"/>
    <w:rsid w:val="0095046A"/>
    <w:rsid w:val="00AD4792"/>
    <w:rsid w:val="00D36B23"/>
    <w:rsid w:val="00D5674F"/>
    <w:rsid w:val="00DF7980"/>
    <w:rsid w:val="00E5516E"/>
    <w:rsid w:val="00E76C77"/>
    <w:rsid w:val="00F32AAE"/>
    <w:rsid w:val="00F372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1870"/>
  <w15:chartTrackingRefBased/>
  <w15:docId w15:val="{59A58D0D-9FAC-479C-9BFC-AFF8BD4B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23D"/>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F3723D"/>
    <w:pPr>
      <w:jc w:val="both"/>
    </w:pPr>
    <w:rPr>
      <w:rFonts w:ascii="Arial" w:hAnsi="Arial" w:cs="Arial"/>
      <w:b/>
    </w:rPr>
  </w:style>
  <w:style w:type="character" w:customStyle="1" w:styleId="TextoindependienteCar">
    <w:name w:val="Texto independiente Car"/>
    <w:basedOn w:val="Fuentedeprrafopredeter"/>
    <w:link w:val="Textoindependiente"/>
    <w:rsid w:val="00F3723D"/>
    <w:rPr>
      <w:rFonts w:ascii="Arial" w:eastAsia="Times New Roman" w:hAnsi="Arial" w:cs="Arial"/>
      <w:b/>
      <w:sz w:val="24"/>
      <w:szCs w:val="24"/>
      <w:lang w:val="es-ES" w:eastAsia="zh-CN"/>
    </w:rPr>
  </w:style>
  <w:style w:type="paragraph" w:styleId="Textodeglobo">
    <w:name w:val="Balloon Text"/>
    <w:basedOn w:val="Normal"/>
    <w:link w:val="TextodegloboCar"/>
    <w:uiPriority w:val="99"/>
    <w:semiHidden/>
    <w:unhideWhenUsed/>
    <w:rsid w:val="007568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884"/>
    <w:rPr>
      <w:rFonts w:ascii="Segoe UI" w:eastAsia="Times New Roman" w:hAnsi="Segoe UI" w:cs="Segoe UI"/>
      <w:sz w:val="18"/>
      <w:szCs w:val="18"/>
      <w:lang w:val="es-ES" w:eastAsia="zh-CN"/>
    </w:rPr>
  </w:style>
  <w:style w:type="character" w:customStyle="1" w:styleId="Ninguno">
    <w:name w:val="Ninguno"/>
    <w:rsid w:val="003250B0"/>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80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Salomon</dc:creator>
  <cp:keywords/>
  <dc:description/>
  <cp:lastModifiedBy>Senado</cp:lastModifiedBy>
  <cp:revision>3</cp:revision>
  <cp:lastPrinted>2019-08-27T16:17:00Z</cp:lastPrinted>
  <dcterms:created xsi:type="dcterms:W3CDTF">2019-09-03T22:01:00Z</dcterms:created>
  <dcterms:modified xsi:type="dcterms:W3CDTF">2019-09-03T22:14:00Z</dcterms:modified>
</cp:coreProperties>
</file>