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000001" w14:textId="77777777" w:rsidR="009A2668" w:rsidRDefault="00EB2D0D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PROYECTO DE LEY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2" w14:textId="77777777" w:rsidR="009A2668" w:rsidRDefault="00EB2D0D">
      <w:pPr>
        <w:spacing w:after="120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Autor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Lucas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Larrarte</w:t>
      </w:r>
      <w:proofErr w:type="spellEnd"/>
    </w:p>
    <w:p w14:paraId="00000003" w14:textId="77777777" w:rsidR="009A2668" w:rsidRDefault="00EB2D0D">
      <w:pPr>
        <w:spacing w:after="120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Objeto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Régimen de Promoción de la Economía del Conocimiento para Entre Ríos. Adherir a la Ley Nacional Nº 27.506.</w:t>
      </w:r>
    </w:p>
    <w:p w14:paraId="00000004" w14:textId="77777777" w:rsidR="009A2668" w:rsidRDefault="009A2668">
      <w:pPr>
        <w:spacing w:after="120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9A2668" w:rsidRDefault="00EB2D0D">
      <w:pPr>
        <w:spacing w:before="100" w:after="120"/>
        <w:ind w:right="6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FUNDAMENTOS</w:t>
      </w:r>
    </w:p>
    <w:p w14:paraId="00000006" w14:textId="77777777" w:rsidR="009A2668" w:rsidRDefault="009A2668">
      <w:pPr>
        <w:spacing w:before="100" w:after="120"/>
        <w:ind w:left="6" w:right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77777777" w:rsidR="009A2668" w:rsidRDefault="00EB2D0D">
      <w:pPr>
        <w:spacing w:before="100" w:after="120"/>
        <w:ind w:left="6" w:right="60" w:firstLine="1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Las economías desarrolladas y muchas de las denominadas economías “emergentes” asignan un lugar central al proceso de innovación y a las políticas destinadas a promoverlo. En fecha 10 de junio del corriente año se publicó en el Boletín Oficial la Ley Nacio</w:t>
      </w:r>
      <w:r>
        <w:rPr>
          <w:rFonts w:ascii="Times New Roman" w:eastAsia="Times New Roman" w:hAnsi="Times New Roman" w:cs="Times New Roman"/>
          <w:sz w:val="24"/>
          <w:szCs w:val="24"/>
        </w:rPr>
        <w:t>nal Nº 27.506 "Régimen de Promoción de la Economía del Conocimiento".</w:t>
      </w:r>
    </w:p>
    <w:p w14:paraId="00000008" w14:textId="77777777" w:rsidR="009A2668" w:rsidRDefault="00EB2D0D">
      <w:pPr>
        <w:spacing w:before="100" w:after="120"/>
        <w:ind w:left="6" w:right="60" w:firstLine="1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 la fundamentación del proyecto nacional se lee: 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 líneas generales, la economía del conocimiento comprende a la producción de bienes y servicios en base a la creciente utilización 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 las tecnologías de la información y las comunicaciones y el empleo de capital humano con altos niveles de calificación, contribuyendo de esta manera al crecimiento de la productividad, la internacionalización empresarial, al desarrollo de una mayor efici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encia, innovación y calidad en la producción de bienes y servicios, impactando directamente en el bienestar social. La economía del conocimiento posee un alto potencial para impulsar el crecimiento de la República Argentina, aumentar la productividad de ma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nera transversal a los diferentes sectores del entramado productivo y contribuir a la generación masiva de empleo de calidad</w:t>
      </w:r>
      <w:r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00000009" w14:textId="77777777" w:rsidR="009A2668" w:rsidRDefault="00EB2D0D">
      <w:pPr>
        <w:spacing w:before="100" w:after="120"/>
        <w:ind w:left="6" w:right="60" w:firstLine="1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 decir que la norma tiene como propósito promocionar las actividades económicas que aplican el uso del conocimiento y la digita</w:t>
      </w:r>
      <w:r>
        <w:rPr>
          <w:rFonts w:ascii="Times New Roman" w:eastAsia="Times New Roman" w:hAnsi="Times New Roman" w:cs="Times New Roman"/>
          <w:sz w:val="24"/>
          <w:szCs w:val="24"/>
        </w:rPr>
        <w:t>lización de la información apoyado en los avances de la ciencia y de las tecnologías, a la obtención de bienes, prestación de servicios y/o mejoras de procesos, con los alcances y limitaciones establecidos en ella y en las normas reglamentarias que en su c</w:t>
      </w:r>
      <w:r>
        <w:rPr>
          <w:rFonts w:ascii="Times New Roman" w:eastAsia="Times New Roman" w:hAnsi="Times New Roman" w:cs="Times New Roman"/>
          <w:sz w:val="24"/>
          <w:szCs w:val="24"/>
        </w:rPr>
        <w:t>onsecuencia se dicten.</w:t>
      </w:r>
    </w:p>
    <w:p w14:paraId="0000000A" w14:textId="77777777" w:rsidR="009A2668" w:rsidRDefault="00EB2D0D">
      <w:pPr>
        <w:spacing w:before="100" w:after="120"/>
        <w:ind w:left="6" w:right="60" w:firstLine="1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“Régimen de Promoción de la Economía del Conocimiento” tiene como objeto la creación, diseño, desarrollo, producción e implementación o adaptación de productos y servicios y su documentación técnica asociada, tanto en su aspecto b</w:t>
      </w:r>
      <w:r>
        <w:rPr>
          <w:rFonts w:ascii="Times New Roman" w:eastAsia="Times New Roman" w:hAnsi="Times New Roman" w:cs="Times New Roman"/>
          <w:sz w:val="24"/>
          <w:szCs w:val="24"/>
        </w:rPr>
        <w:t>ásico como aplicado, incluyendo el que se elabore para ser incorporado a procesadores y/u otros dispositivos tecnológicos, promoviendo los siguientes rubros:</w:t>
      </w:r>
    </w:p>
    <w:p w14:paraId="0000000B" w14:textId="77777777" w:rsidR="009A2668" w:rsidRDefault="00EB2D0D">
      <w:pPr>
        <w:spacing w:before="100" w:after="120"/>
        <w:ind w:left="6" w:right="60" w:firstLine="1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Software y servicios informáticos y digitales, incluyendo: (i) desarrollo de productos y servic</w:t>
      </w:r>
      <w:r>
        <w:rPr>
          <w:rFonts w:ascii="Times New Roman" w:eastAsia="Times New Roman" w:hAnsi="Times New Roman" w:cs="Times New Roman"/>
          <w:sz w:val="24"/>
          <w:szCs w:val="24"/>
        </w:rPr>
        <w:t>ios de software (SAAS) existentes o que se creen en el futuro, que se apliquen a actividades como 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learning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marketing interactivo, 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commerce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servicios de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provisión de aplicaciones, edición y publicación electrónica de información; siempre que sean part</w:t>
      </w:r>
      <w:r>
        <w:rPr>
          <w:rFonts w:ascii="Times New Roman" w:eastAsia="Times New Roman" w:hAnsi="Times New Roman" w:cs="Times New Roman"/>
          <w:sz w:val="24"/>
          <w:szCs w:val="24"/>
        </w:rPr>
        <w:t>e de una oferta informática integrada y agreguen valor a la misma; (ii) desarrollo y puesta a punto de productos de software originales registrables como obra inédita o editada; (iii) implementación y puesta a punto para terceros de productos de software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ropios o creados por terceros y de productos registrados; (iv) desarrollo de software a medida cuando esta actividad permita distinguir la creación de valor agregado, aun cuando en los contratos respectivos se ceda la propiedad intelectual a terceros; (v) </w:t>
      </w:r>
      <w:r>
        <w:rPr>
          <w:rFonts w:ascii="Times New Roman" w:eastAsia="Times New Roman" w:hAnsi="Times New Roman" w:cs="Times New Roman"/>
          <w:sz w:val="24"/>
          <w:szCs w:val="24"/>
        </w:rPr>
        <w:t>servicios informáticos de valor agregado orientados a mejorar la seguridad de equipos y redes, la confiabilidad de programas y sistemas de software, la calidad de los sistemas y datos y la administración de la información y el conocimiento de las organizac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iones; (vi) desarrollo de partes de sistemas, módulos, rutinas, procedimientos, documentación, siempre que se trate de desarrollos complementarios o integrables a productos de software registrables; (vii) servicios de diseño, codificación, implementación, </w:t>
      </w:r>
      <w:r>
        <w:rPr>
          <w:rFonts w:ascii="Times New Roman" w:eastAsia="Times New Roman" w:hAnsi="Times New Roman" w:cs="Times New Roman"/>
          <w:sz w:val="24"/>
          <w:szCs w:val="24"/>
        </w:rPr>
        <w:t>mantenimiento, soporte a distancia, resolución de incidencias, conversión y/o traducción de lenguajes informáticos, adición de funciones, preparación de documentación para el usuario y garantía o asesoramiento de calidad de sistemas, entre otros, todos ell</w:t>
      </w:r>
      <w:r>
        <w:rPr>
          <w:rFonts w:ascii="Times New Roman" w:eastAsia="Times New Roman" w:hAnsi="Times New Roman" w:cs="Times New Roman"/>
          <w:sz w:val="24"/>
          <w:szCs w:val="24"/>
        </w:rPr>
        <w:t>os a ser realizados a productos de software y con destino a mercados externos; (viii) desarrollo y puesta a punto de software que se elabore para ser incorporado en procesadores (software embebido o insertado) utilizados en bienes y sistemas de diversa índ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ole; (ix) videojuegos; y (x) servicios de cómputo en la nube; b) Producción y postproducción audiovisual, incluidos los de formato digital; c) Biotecnología,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bioeconomía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biología, bioquímica, microbiología, bioinformática, biología molecular,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neurotecnolo</w:t>
      </w:r>
      <w:r>
        <w:rPr>
          <w:rFonts w:ascii="Times New Roman" w:eastAsia="Times New Roman" w:hAnsi="Times New Roman" w:cs="Times New Roman"/>
          <w:sz w:val="24"/>
          <w:szCs w:val="24"/>
        </w:rPr>
        <w:t>gía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ingeniería genética,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geoingeniería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sus ensayos y análisis; d) Servicios geológicos y de prospección y servicios relacionados con la electrónica y las comunicaciones; e) Servicios profesionales, únicamente en la medida que sean de exportación; f) 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notecnología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nanociencia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g) Industria aeroespacial y satelital, tecnologías espaciales; h) Ingeniería para la industria nuclear; i) Fabricación, puesta a punto, mantenimiento e introducción de bienes y servicios orientados a soluciones de automatización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 la producción que incluyan ciclos de retroalimentación de procesos físicos a digitales y viceversa, estando en todo momento, exclusivamente caracterizado por el uso de tecnologías de la industria 4.0, tales como inteligencia artificial, robótica e inte</w:t>
      </w:r>
      <w:r>
        <w:rPr>
          <w:rFonts w:ascii="Times New Roman" w:eastAsia="Times New Roman" w:hAnsi="Times New Roman" w:cs="Times New Roman"/>
          <w:sz w:val="24"/>
          <w:szCs w:val="24"/>
        </w:rPr>
        <w:t>rnet industrial, internet de las cosas, sensores, manufactura aditiva, realidad aumentada y virtual.</w:t>
      </w:r>
    </w:p>
    <w:p w14:paraId="0000000C" w14:textId="77777777" w:rsidR="009A2668" w:rsidRDefault="00EB2D0D">
      <w:pPr>
        <w:spacing w:before="100" w:after="120"/>
        <w:ind w:left="6" w:right="60" w:firstLine="1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promoción prevé beneficios fiscales que la norma nacional desarrolla en el Capítulo II denominado “Tratamiento fiscal para los beneficiarios” incorporan</w:t>
      </w:r>
      <w:r>
        <w:rPr>
          <w:rFonts w:ascii="Times New Roman" w:eastAsia="Times New Roman" w:hAnsi="Times New Roman" w:cs="Times New Roman"/>
          <w:sz w:val="24"/>
          <w:szCs w:val="24"/>
        </w:rPr>
        <w:t>do la estabilidad fiscal, la reducción de cargas patronales, bonos de crédito fiscal y la reducción de la alícuota del impuesto a las ganancias.</w:t>
      </w:r>
    </w:p>
    <w:p w14:paraId="0000000D" w14:textId="77777777" w:rsidR="009A2668" w:rsidRDefault="00EB2D0D">
      <w:pPr>
        <w:spacing w:before="100" w:after="120"/>
        <w:ind w:left="6" w:right="60" w:firstLine="1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 otro lado, el artículo 22 señala que será de aplicación en aquellas provincias que adhieran a través del dic</w:t>
      </w:r>
      <w:r>
        <w:rPr>
          <w:rFonts w:ascii="Times New Roman" w:eastAsia="Times New Roman" w:hAnsi="Times New Roman" w:cs="Times New Roman"/>
          <w:sz w:val="24"/>
          <w:szCs w:val="24"/>
        </w:rPr>
        <w:t>tado de una ley, y que adopten medidas tendientes a promover las actividades objeto de promoción mediante la concesión de incentivos fiscales, de modo tal que en el texto proponemos una reducción de la alícuota del impuesto a los ingresos brutos.</w:t>
      </w:r>
    </w:p>
    <w:p w14:paraId="0000000E" w14:textId="77777777" w:rsidR="009A2668" w:rsidRDefault="00EB2D0D">
      <w:pPr>
        <w:spacing w:before="100" w:after="120"/>
        <w:ind w:left="6" w:right="60" w:firstLine="1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Creemos q</w:t>
      </w:r>
      <w:r>
        <w:rPr>
          <w:rFonts w:ascii="Times New Roman" w:eastAsia="Times New Roman" w:hAnsi="Times New Roman" w:cs="Times New Roman"/>
          <w:sz w:val="24"/>
          <w:szCs w:val="24"/>
        </w:rPr>
        <w:t>ue en Entre Ríos es necesario promover y consolidar este sector que actualmente es incipiente y para eso debemos promover iniciativas que contengan incentivos locales para su desarrollo. En este sentido, hace unos meses, en nuestra provincia la directora 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acional de Servicios Basados del Conocimiento del Ministerio de Producción y Trabajo de la Nación, Pía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Giudice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en conferencia realizada en la UTN Paraná junto al secretario de Ciencia y Tecnología de la UTN, Juan Pablo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Magnín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el presidente del Polo Tecn</w:t>
      </w:r>
      <w:r>
        <w:rPr>
          <w:rFonts w:ascii="Times New Roman" w:eastAsia="Times New Roman" w:hAnsi="Times New Roman" w:cs="Times New Roman"/>
          <w:sz w:val="24"/>
          <w:szCs w:val="24"/>
        </w:rPr>
        <w:t>ológico del Paraná, Matías Ruiz, señalo que 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 economía del conocimiento es un sector muy importante para el desarrollo del país y se trata del cuarto factor exportador y es elemental que se desarrolle este tipo de economías</w:t>
      </w:r>
      <w:r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0000000F" w14:textId="77777777" w:rsidR="009A2668" w:rsidRDefault="00EB2D0D">
      <w:pPr>
        <w:spacing w:before="100" w:after="120"/>
        <w:ind w:left="6" w:right="60" w:firstLine="1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todo ello, solicitamos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los señores legisladores tengan a bien acompañar la siguiente iniciativa.</w:t>
      </w:r>
    </w:p>
    <w:p w14:paraId="00000010" w14:textId="77777777" w:rsidR="009A2668" w:rsidRDefault="009A2668">
      <w:pPr>
        <w:spacing w:before="100" w:after="120"/>
        <w:ind w:right="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9A2668" w:rsidRDefault="009A2668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9A2668" w:rsidRDefault="00EB2D0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0000013" w14:textId="77777777" w:rsidR="009A2668" w:rsidRDefault="00EB2D0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 LEGISLATURA DE LA PROVINCIA DE ENTRE RÍOS</w:t>
      </w:r>
    </w:p>
    <w:p w14:paraId="00000014" w14:textId="77777777" w:rsidR="009A2668" w:rsidRDefault="00EB2D0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SANCIONA CON FUERZA DE</w:t>
      </w:r>
    </w:p>
    <w:p w14:paraId="00000015" w14:textId="77777777" w:rsidR="009A2668" w:rsidRDefault="00EB2D0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 E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Y :</w:t>
      </w:r>
      <w:proofErr w:type="gramEnd"/>
    </w:p>
    <w:p w14:paraId="00000016" w14:textId="77777777" w:rsidR="009A2668" w:rsidRDefault="00EB2D0D">
      <w:pPr>
        <w:spacing w:before="20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Artículo 1º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Adhesión. </w:t>
      </w:r>
      <w:r>
        <w:rPr>
          <w:rFonts w:ascii="Times New Roman" w:eastAsia="Times New Roman" w:hAnsi="Times New Roman" w:cs="Times New Roman"/>
          <w:sz w:val="24"/>
          <w:szCs w:val="24"/>
        </w:rPr>
        <w:t>Adhiérase la Provincia de Entre Ríos a las disposiciones de la Ley Nacional Nº 27.506 denominada "Régimen de Promoción de la Economía del Conocimiento".</w:t>
      </w:r>
    </w:p>
    <w:p w14:paraId="00000017" w14:textId="77777777" w:rsidR="009A2668" w:rsidRDefault="00EB2D0D">
      <w:pPr>
        <w:spacing w:before="20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Artículo 2º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Estabilidad Fiscal.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Los beneficiarios del Régimen de Promoción de la Economía del Conocimiento gozarán de estabilidad fiscal respecto de las actividades objeto de promoción, a partir de la fecha de su inscripción en el Registro Nacional de Beneficiarios del Régimen de Promoc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ión de la Economía del Conocimiento, y por el término de vigencia de éste. </w:t>
      </w:r>
    </w:p>
    <w:p w14:paraId="00000018" w14:textId="77777777" w:rsidR="009A2668" w:rsidRDefault="00EB2D0D">
      <w:pPr>
        <w:spacing w:before="20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estabilidad fiscal significa que los beneficiarios no podrán ver incrementada su carga tributaria total provincial determinada al momento de su solicitud de adhesión al Registro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Nacional de Beneficiarios del Régimen de Promoción de la Economía del Conocimiento. Este beneficio se considerará en forma separada del conferido en jurisdicción nacional.</w:t>
      </w:r>
    </w:p>
    <w:p w14:paraId="00000019" w14:textId="77777777" w:rsidR="009A2668" w:rsidRDefault="00EB2D0D">
      <w:pPr>
        <w:spacing w:before="20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Artículo 3º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Impuesto a los Ingresos Brutos.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Los beneficiarios del presente Régimen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Promoción de la Economía del Conocimiento alcanzados por el Impuesto a los Ingresos Brutos se beneficiarán con la reducción del 25% de la alícuota, en la medida en que mantengan su nómina de personal en los términos y condiciones que establezca la regl</w:t>
      </w:r>
      <w:r>
        <w:rPr>
          <w:rFonts w:ascii="Times New Roman" w:eastAsia="Times New Roman" w:hAnsi="Times New Roman" w:cs="Times New Roman"/>
          <w:sz w:val="24"/>
          <w:szCs w:val="24"/>
        </w:rPr>
        <w:t>amentación.</w:t>
      </w:r>
    </w:p>
    <w:p w14:paraId="0000001A" w14:textId="77777777" w:rsidR="009A2668" w:rsidRDefault="00EB2D0D">
      <w:pPr>
        <w:spacing w:before="20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presente beneficio será de aplicación para los ejercicios fiscales que se inicien con posterioridad a la fecha de inscripción del beneficiario en el mencionado registro.</w:t>
      </w:r>
    </w:p>
    <w:p w14:paraId="0000001B" w14:textId="77777777" w:rsidR="009A2668" w:rsidRDefault="00EB2D0D">
      <w:pPr>
        <w:spacing w:before="20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Artículo 4º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Autoridad de Aplicación.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 Poder Ejecutivo Provincial des</w:t>
      </w:r>
      <w:r>
        <w:rPr>
          <w:rFonts w:ascii="Times New Roman" w:eastAsia="Times New Roman" w:hAnsi="Times New Roman" w:cs="Times New Roman"/>
          <w:sz w:val="24"/>
          <w:szCs w:val="24"/>
        </w:rPr>
        <w:t>ignará la Autoridad de Aplicación, quien podrá dictar normas aclaratorias y complementarias que resulten necesarias para el adecuado funcionamiento del Régimen en la provincia de Entre Ríos.</w:t>
      </w:r>
    </w:p>
    <w:p w14:paraId="0000001C" w14:textId="77777777" w:rsidR="009A2668" w:rsidRDefault="00EB2D0D">
      <w:pPr>
        <w:spacing w:before="200"/>
        <w:ind w:firstLine="70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Artículo 5º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forma. </w:t>
      </w:r>
    </w:p>
    <w:sectPr w:rsidR="009A2668">
      <w:pgSz w:w="11906" w:h="16838"/>
      <w:pgMar w:top="3118" w:right="1133" w:bottom="1133" w:left="22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668"/>
    <w:rsid w:val="009A2668"/>
    <w:rsid w:val="00EB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0DB29F-DAE9-4A44-9BC3-A06084E4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1296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Senado</dc:creator>
  <cp:lastModifiedBy>Senado</cp:lastModifiedBy>
  <cp:revision>2</cp:revision>
  <dcterms:created xsi:type="dcterms:W3CDTF">2019-09-17T21:45:00Z</dcterms:created>
  <dcterms:modified xsi:type="dcterms:W3CDTF">2019-09-17T21:45:00Z</dcterms:modified>
</cp:coreProperties>
</file>