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A26470" w:rsidRDefault="00046C6D">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PROYECTO DE DECLARACIÓN</w:t>
      </w:r>
      <w:r>
        <w:rPr>
          <w:rFonts w:ascii="Times New Roman" w:eastAsia="Times New Roman" w:hAnsi="Times New Roman" w:cs="Times New Roman"/>
          <w:sz w:val="24"/>
          <w:szCs w:val="24"/>
        </w:rPr>
        <w:t xml:space="preserve"> </w:t>
      </w:r>
    </w:p>
    <w:p w14:paraId="00000002" w14:textId="77777777" w:rsidR="00A26470" w:rsidRDefault="00046C6D">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Lucas Larrarte, Angel F. Giano, René A. Bonato, Aldo A. Ballestena, Daniel H. Olano, Mario C. Torres, Miriam L. Espinoza, Nancy S. Miranda y Héctor E. Blanco.  </w:t>
      </w:r>
    </w:p>
    <w:p w14:paraId="00000003" w14:textId="77777777" w:rsidR="00A26470" w:rsidRDefault="00046C6D">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Declarar el repudio del Senado de Entre Ríos al DNU 669/19</w:t>
      </w:r>
      <w:r>
        <w:rPr>
          <w:rFonts w:ascii="Times New Roman" w:eastAsia="Times New Roman" w:hAnsi="Times New Roman" w:cs="Times New Roman"/>
          <w:sz w:val="24"/>
          <w:szCs w:val="24"/>
          <w:highlight w:val="white"/>
        </w:rPr>
        <w:t>.</w:t>
      </w:r>
    </w:p>
    <w:p w14:paraId="00000004" w14:textId="77777777" w:rsidR="00A26470" w:rsidRDefault="00A26470">
      <w:pPr>
        <w:spacing w:before="200"/>
        <w:jc w:val="both"/>
        <w:rPr>
          <w:rFonts w:ascii="Times New Roman" w:eastAsia="Times New Roman" w:hAnsi="Times New Roman" w:cs="Times New Roman"/>
          <w:sz w:val="24"/>
          <w:szCs w:val="24"/>
          <w:highlight w:val="white"/>
        </w:rPr>
      </w:pPr>
    </w:p>
    <w:p w14:paraId="00000005" w14:textId="77777777" w:rsidR="00A26470" w:rsidRDefault="00046C6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FUNDAMENTOS</w:t>
      </w:r>
    </w:p>
    <w:p w14:paraId="00000006" w14:textId="77777777" w:rsidR="00A26470" w:rsidRDefault="00A26470">
      <w:pPr>
        <w:jc w:val="center"/>
        <w:rPr>
          <w:rFonts w:ascii="Times New Roman" w:eastAsia="Times New Roman" w:hAnsi="Times New Roman" w:cs="Times New Roman"/>
          <w:sz w:val="24"/>
          <w:szCs w:val="24"/>
        </w:rPr>
      </w:pPr>
    </w:p>
    <w:p w14:paraId="00000007"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Poder Ejecutivo Nacional en una medida inesperada, a través del Decreto de Necesidad y Urgencia Nº 669/19, dispuso: “</w:t>
      </w:r>
      <w:r>
        <w:rPr>
          <w:rFonts w:ascii="Times New Roman" w:eastAsia="Times New Roman" w:hAnsi="Times New Roman" w:cs="Times New Roman"/>
          <w:i/>
          <w:sz w:val="24"/>
          <w:szCs w:val="24"/>
          <w:highlight w:val="white"/>
        </w:rPr>
        <w:t xml:space="preserve">ARTÍCULO 1°. Sustitúyese el artículo 12 de la Ley N° 24.557 y </w:t>
      </w:r>
      <w:r>
        <w:rPr>
          <w:rFonts w:ascii="Times New Roman" w:eastAsia="Times New Roman" w:hAnsi="Times New Roman" w:cs="Times New Roman"/>
          <w:i/>
          <w:sz w:val="24"/>
          <w:szCs w:val="24"/>
          <w:highlight w:val="white"/>
        </w:rPr>
        <w:t>sus modificaciones, por el siguiente: “ARTÍCULO 12.- Ingreso Base. Establécese, respecto del cálculo del monto de las indemnizaciones por incapacidad laboral definitiva o muerte del trabajador, la aplicación del siguiente criterio: 1. A los fines del cálcu</w:t>
      </w:r>
      <w:r>
        <w:rPr>
          <w:rFonts w:ascii="Times New Roman" w:eastAsia="Times New Roman" w:hAnsi="Times New Roman" w:cs="Times New Roman"/>
          <w:i/>
          <w:sz w:val="24"/>
          <w:szCs w:val="24"/>
          <w:highlight w:val="white"/>
        </w:rPr>
        <w:t xml:space="preserve">lo del valor del ingreso base se considerará el promedio mensual de todos los salarios devengados -de conformidad con lo establecido por el artículo 1° del Convenio N° 95 de la OIT- por el trabajador </w:t>
      </w:r>
      <w:r>
        <w:rPr>
          <w:rFonts w:ascii="Times New Roman" w:eastAsia="Times New Roman" w:hAnsi="Times New Roman" w:cs="Times New Roman"/>
          <w:b/>
          <w:i/>
          <w:sz w:val="24"/>
          <w:szCs w:val="24"/>
          <w:highlight w:val="white"/>
        </w:rPr>
        <w:t>durante el año anterior a la primera manifestación inval</w:t>
      </w:r>
      <w:r>
        <w:rPr>
          <w:rFonts w:ascii="Times New Roman" w:eastAsia="Times New Roman" w:hAnsi="Times New Roman" w:cs="Times New Roman"/>
          <w:b/>
          <w:i/>
          <w:sz w:val="24"/>
          <w:szCs w:val="24"/>
          <w:highlight w:val="white"/>
        </w:rPr>
        <w:t>idante, o en el tiempo de prestación de servicio si fuera menor</w:t>
      </w:r>
      <w:r>
        <w:rPr>
          <w:rFonts w:ascii="Times New Roman" w:eastAsia="Times New Roman" w:hAnsi="Times New Roman" w:cs="Times New Roman"/>
          <w:i/>
          <w:sz w:val="24"/>
          <w:szCs w:val="24"/>
          <w:highlight w:val="white"/>
        </w:rPr>
        <w:t>. Los salarios mensuales tomados a fin de establecer el promedio se actualizarán mes a mes aplicándose la variación del índice Remuneraciones Imponibles Promedio de los Trabajadores Estables (R</w:t>
      </w:r>
      <w:r>
        <w:rPr>
          <w:rFonts w:ascii="Times New Roman" w:eastAsia="Times New Roman" w:hAnsi="Times New Roman" w:cs="Times New Roman"/>
          <w:i/>
          <w:sz w:val="24"/>
          <w:szCs w:val="24"/>
          <w:highlight w:val="white"/>
        </w:rPr>
        <w:t>IPTE), elaborado y difundido por el MINISTERIO DE SALUD Y DESARROLLO SOCIAL. 2. Desde la fecha de la primera manifestación invalidante y hasta la fecha en que deba realizarse la puesta a disposición de la indemnización por determinación de la incapacidad l</w:t>
      </w:r>
      <w:r>
        <w:rPr>
          <w:rFonts w:ascii="Times New Roman" w:eastAsia="Times New Roman" w:hAnsi="Times New Roman" w:cs="Times New Roman"/>
          <w:i/>
          <w:sz w:val="24"/>
          <w:szCs w:val="24"/>
          <w:highlight w:val="white"/>
        </w:rPr>
        <w:t xml:space="preserve">aboral definitiva, deceso del trabajador u homologación, el monto del ingreso base devengará un interés equivalente a la </w:t>
      </w:r>
      <w:r>
        <w:rPr>
          <w:rFonts w:ascii="Times New Roman" w:eastAsia="Times New Roman" w:hAnsi="Times New Roman" w:cs="Times New Roman"/>
          <w:b/>
          <w:i/>
          <w:sz w:val="24"/>
          <w:szCs w:val="24"/>
          <w:highlight w:val="white"/>
        </w:rPr>
        <w:t>tasa de variación de las Remuneraciones Imponibles Promedio de los Trabajadores Estables</w:t>
      </w:r>
      <w:r>
        <w:rPr>
          <w:rFonts w:ascii="Times New Roman" w:eastAsia="Times New Roman" w:hAnsi="Times New Roman" w:cs="Times New Roman"/>
          <w:i/>
          <w:sz w:val="24"/>
          <w:szCs w:val="24"/>
          <w:highlight w:val="white"/>
        </w:rPr>
        <w:t xml:space="preserve"> (RIPTE) en el período considerado. 3. En caso </w:t>
      </w:r>
      <w:r>
        <w:rPr>
          <w:rFonts w:ascii="Times New Roman" w:eastAsia="Times New Roman" w:hAnsi="Times New Roman" w:cs="Times New Roman"/>
          <w:i/>
          <w:sz w:val="24"/>
          <w:szCs w:val="24"/>
          <w:highlight w:val="white"/>
        </w:rPr>
        <w:t>de que las Aseguradoras de Riesgos del Trabajo no pongan a disposición el pago de la indemnización dentro del plazo debido, se aplicará un interés equivalente al promedio de la tasa activa cartera general nominal anual vencida a TREINTA (30) días del BANCO</w:t>
      </w:r>
      <w:r>
        <w:rPr>
          <w:rFonts w:ascii="Times New Roman" w:eastAsia="Times New Roman" w:hAnsi="Times New Roman" w:cs="Times New Roman"/>
          <w:i/>
          <w:sz w:val="24"/>
          <w:szCs w:val="24"/>
          <w:highlight w:val="white"/>
        </w:rPr>
        <w:t xml:space="preserve"> DE LA NACIÓN ARGENTINA, hasta la efectiva cancelación, acumulándose los intereses al capital en forma semestral, según lo establecido en el artículo 770 del Código Civil y Comercial de la Nación… ARTÍCULO 3°.- Las modificaciones dispuestas en la presente </w:t>
      </w:r>
      <w:r>
        <w:rPr>
          <w:rFonts w:ascii="Times New Roman" w:eastAsia="Times New Roman" w:hAnsi="Times New Roman" w:cs="Times New Roman"/>
          <w:i/>
          <w:sz w:val="24"/>
          <w:szCs w:val="24"/>
          <w:highlight w:val="white"/>
        </w:rPr>
        <w:t>norma</w:t>
      </w:r>
      <w:r>
        <w:rPr>
          <w:rFonts w:ascii="Times New Roman" w:eastAsia="Times New Roman" w:hAnsi="Times New Roman" w:cs="Times New Roman"/>
          <w:b/>
          <w:i/>
          <w:sz w:val="24"/>
          <w:szCs w:val="24"/>
          <w:highlight w:val="white"/>
        </w:rPr>
        <w:t xml:space="preserve"> se aplicarán en todos los casos, independientemente de la fecha de la primera manifestación invalidante</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w:t>
      </w:r>
    </w:p>
    <w:p w14:paraId="00000008"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decreto aparece inspirado en idea de flexibilización laboral y desregulación  propia de las doctrinas liberales, operando a favor de los int</w:t>
      </w:r>
      <w:r>
        <w:rPr>
          <w:rFonts w:ascii="Times New Roman" w:eastAsia="Times New Roman" w:hAnsi="Times New Roman" w:cs="Times New Roman"/>
          <w:sz w:val="24"/>
          <w:szCs w:val="24"/>
          <w:highlight w:val="white"/>
        </w:rPr>
        <w:t xml:space="preserve">ereses económicos de las ART, al mismo tiempo que se revela como una norma que cumple con una política económica alejada de la necesaria justificación constitucional, pero sostenida a partir de </w:t>
      </w:r>
      <w:r>
        <w:rPr>
          <w:rFonts w:ascii="Times New Roman" w:eastAsia="Times New Roman" w:hAnsi="Times New Roman" w:cs="Times New Roman"/>
          <w:sz w:val="24"/>
          <w:szCs w:val="24"/>
          <w:highlight w:val="white"/>
        </w:rPr>
        <w:lastRenderedPageBreak/>
        <w:t>la legislación de urgencia, para imponer medidas que clarament</w:t>
      </w:r>
      <w:r>
        <w:rPr>
          <w:rFonts w:ascii="Times New Roman" w:eastAsia="Times New Roman" w:hAnsi="Times New Roman" w:cs="Times New Roman"/>
          <w:sz w:val="24"/>
          <w:szCs w:val="24"/>
          <w:highlight w:val="white"/>
        </w:rPr>
        <w:t>e contradicen al sistema y programa constitucional.</w:t>
      </w:r>
    </w:p>
    <w:p w14:paraId="00000009"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primer lugar, la norma es inconstitucional por constituir una manifiesta violación del espíritu republicano, del principio de división de poderes y de la prohibición de ejercicio de facultades legislat</w:t>
      </w:r>
      <w:r>
        <w:rPr>
          <w:rFonts w:ascii="Times New Roman" w:eastAsia="Times New Roman" w:hAnsi="Times New Roman" w:cs="Times New Roman"/>
          <w:sz w:val="24"/>
          <w:szCs w:val="24"/>
          <w:highlight w:val="white"/>
        </w:rPr>
        <w:t xml:space="preserve">ivas por parte del Poder Ejecutivo, atentando contra el orden constitucional al pretender suprimir en forma indirecta el estado de derecho y el sistema representativo, republicano y federal establecido por el artículo 1º de la Constitución Nacional. </w:t>
      </w:r>
    </w:p>
    <w:p w14:paraId="0000000A"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Este </w:t>
      </w:r>
      <w:r>
        <w:rPr>
          <w:rFonts w:ascii="Times New Roman" w:eastAsia="Times New Roman" w:hAnsi="Times New Roman" w:cs="Times New Roman"/>
          <w:sz w:val="24"/>
          <w:szCs w:val="24"/>
          <w:highlight w:val="white"/>
        </w:rPr>
        <w:t>cuerpo no puede soslayar que la Corte en el precedente “Verrocchi” resolvió que para que el Presidente de la Nación pueda ejercer legítimamente las excepcionales facultades legislativas que, en principio, le son ajenas, es necesaria la concurrencia de algu</w:t>
      </w:r>
      <w:r>
        <w:rPr>
          <w:rFonts w:ascii="Times New Roman" w:eastAsia="Times New Roman" w:hAnsi="Times New Roman" w:cs="Times New Roman"/>
          <w:sz w:val="24"/>
          <w:szCs w:val="24"/>
          <w:highlight w:val="white"/>
        </w:rPr>
        <w:t xml:space="preserve">na de estas dos circunstancias: 1) que sea imposible dictar la ley mediante el trámite ordinario previsto por la Constitución, vale decir, que las cámaras del Congreso no puedan reunirse por circunstancias de fuerza mayor que lo impidan, como ocurriría en </w:t>
      </w:r>
      <w:r>
        <w:rPr>
          <w:rFonts w:ascii="Times New Roman" w:eastAsia="Times New Roman" w:hAnsi="Times New Roman" w:cs="Times New Roman"/>
          <w:sz w:val="24"/>
          <w:szCs w:val="24"/>
          <w:highlight w:val="white"/>
        </w:rPr>
        <w:t xml:space="preserve">el caso de acciones bélicas o desastres naturales que impidiesen su reunión o el traslado de los legisladores a la Capital Federal; o 2) que la situación que requiere solución legislativa sea de una urgencia tal que deba ser solucionada inmediatamente, en </w:t>
      </w:r>
      <w:r>
        <w:rPr>
          <w:rFonts w:ascii="Times New Roman" w:eastAsia="Times New Roman" w:hAnsi="Times New Roman" w:cs="Times New Roman"/>
          <w:sz w:val="24"/>
          <w:szCs w:val="24"/>
          <w:highlight w:val="white"/>
        </w:rPr>
        <w:t>un plazo incompatible con el que demanda el trámite normal de las leyes (considerando 9).</w:t>
      </w:r>
    </w:p>
    <w:p w14:paraId="0000000B"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 bien entre los fundamentos del DNU 669/19 se señala: “</w:t>
      </w:r>
      <w:r>
        <w:rPr>
          <w:rFonts w:ascii="Times New Roman" w:eastAsia="Times New Roman" w:hAnsi="Times New Roman" w:cs="Times New Roman"/>
          <w:i/>
          <w:sz w:val="24"/>
          <w:szCs w:val="24"/>
          <w:highlight w:val="white"/>
        </w:rPr>
        <w:t>Que ante los recientes acontecimientos económico-financieros que son de público conocimiento, es indispensabl</w:t>
      </w:r>
      <w:r>
        <w:rPr>
          <w:rFonts w:ascii="Times New Roman" w:eastAsia="Times New Roman" w:hAnsi="Times New Roman" w:cs="Times New Roman"/>
          <w:i/>
          <w:sz w:val="24"/>
          <w:szCs w:val="24"/>
          <w:highlight w:val="white"/>
        </w:rPr>
        <w:t>e adoptar medidas urgentes para regular con mayor certidumbre y equidad el Sistema de Riesgos del Trabajo, fortalecer su normal funcionamiento y contribuir a una administración prudente por parte de los diferentes actores que lo componen</w:t>
      </w:r>
      <w:r>
        <w:rPr>
          <w:rFonts w:ascii="Times New Roman" w:eastAsia="Times New Roman" w:hAnsi="Times New Roman" w:cs="Times New Roman"/>
          <w:sz w:val="24"/>
          <w:szCs w:val="24"/>
          <w:highlight w:val="white"/>
        </w:rPr>
        <w:t xml:space="preserve">…, al resultar que </w:t>
      </w:r>
      <w:r>
        <w:rPr>
          <w:rFonts w:ascii="Times New Roman" w:eastAsia="Times New Roman" w:hAnsi="Times New Roman" w:cs="Times New Roman"/>
          <w:sz w:val="24"/>
          <w:szCs w:val="24"/>
          <w:highlight w:val="white"/>
        </w:rPr>
        <w:t>los acontecimientos económicos financieros a los que se refiere como de público conocimiento no son recientes sino que existen desde hace -al menos- un año, no imaginamos la existencia de la “urgencia” que justifique el dictado del Decreto.</w:t>
      </w:r>
    </w:p>
    <w:p w14:paraId="0000000C"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ello, resul</w:t>
      </w:r>
      <w:r>
        <w:rPr>
          <w:rFonts w:ascii="Times New Roman" w:eastAsia="Times New Roman" w:hAnsi="Times New Roman" w:cs="Times New Roman"/>
          <w:sz w:val="24"/>
          <w:szCs w:val="24"/>
          <w:highlight w:val="white"/>
        </w:rPr>
        <w:t>ta flagrantemente violatorio del principio de supremacía de la Constitución, establecido por el art. 31 de la Carta Magna.</w:t>
      </w:r>
    </w:p>
    <w:p w14:paraId="0000000D"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segundo lugar, vulnera groseramente la obligación de progresividad de los derechos sociales en el ámbito del derecho del trabajo, </w:t>
      </w:r>
      <w:r>
        <w:rPr>
          <w:rFonts w:ascii="Times New Roman" w:eastAsia="Times New Roman" w:hAnsi="Times New Roman" w:cs="Times New Roman"/>
          <w:sz w:val="24"/>
          <w:szCs w:val="24"/>
          <w:highlight w:val="white"/>
        </w:rPr>
        <w:t>que está incorporada a nuestra Constitución Nacional, como consecuencia lisa y llana de la inclusión de los tratados internacionales de derechos humanos en el artículo 75 inciso 22 de la Constitución Nacional.</w:t>
      </w:r>
    </w:p>
    <w:p w14:paraId="0000000E"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premisa sustancial de la obligación de prog</w:t>
      </w:r>
      <w:r>
        <w:rPr>
          <w:rFonts w:ascii="Times New Roman" w:eastAsia="Times New Roman" w:hAnsi="Times New Roman" w:cs="Times New Roman"/>
          <w:sz w:val="24"/>
          <w:szCs w:val="24"/>
          <w:highlight w:val="white"/>
        </w:rPr>
        <w:t>resividad es la prohibición de adoptar cursos regresivos, desde el punto de vista político y jurídico, en desmedro del goce de los beneficios que consagran los derechos económicos, sociales, laborales y culturales. Prohibición que asumió constitucionalment</w:t>
      </w:r>
      <w:r>
        <w:rPr>
          <w:rFonts w:ascii="Times New Roman" w:eastAsia="Times New Roman" w:hAnsi="Times New Roman" w:cs="Times New Roman"/>
          <w:sz w:val="24"/>
          <w:szCs w:val="24"/>
          <w:highlight w:val="white"/>
        </w:rPr>
        <w:t>e el Estado Argentino y, por ende, sus diversos poderes, entre ellos, naturalmente, el Ejecutivo.</w:t>
      </w:r>
    </w:p>
    <w:p w14:paraId="0000000F"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letra del decreto deja clara su intencionalidad que no es otra que la de recortar las indemnizaciones de los trabajadores damnificados y al mismo tiempo ga</w:t>
      </w:r>
      <w:r>
        <w:rPr>
          <w:rFonts w:ascii="Times New Roman" w:eastAsia="Times New Roman" w:hAnsi="Times New Roman" w:cs="Times New Roman"/>
          <w:sz w:val="24"/>
          <w:szCs w:val="24"/>
          <w:highlight w:val="white"/>
        </w:rPr>
        <w:t>rantizar la rentabilidad de las aseguradoras.</w:t>
      </w:r>
    </w:p>
    <w:p w14:paraId="00000010" w14:textId="77777777" w:rsidR="00A26470" w:rsidRDefault="00046C6D">
      <w:pPr>
        <w:spacing w:after="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último, observamos que la norma del artículo 3º del DNU porta otra inconstitucionalidad ya que, desconoce lo dispuesto por el artículo 7 del Código Civil y Comercial, afectando derechos adquiridos por los t</w:t>
      </w:r>
      <w:r>
        <w:rPr>
          <w:rFonts w:ascii="Times New Roman" w:eastAsia="Times New Roman" w:hAnsi="Times New Roman" w:cs="Times New Roman"/>
          <w:sz w:val="24"/>
          <w:szCs w:val="24"/>
          <w:highlight w:val="white"/>
        </w:rPr>
        <w:t>rabajadores damnificados y viola el principio de aplicación de la norma más favorable  contenido en el artículo 5.2 PIDCP y en el artículo 9° LCT. La aplicación retroactiva perjudicará a todos los que los trabajadores cuyos infortunios ocurrieron con anter</w:t>
      </w:r>
      <w:r>
        <w:rPr>
          <w:rFonts w:ascii="Times New Roman" w:eastAsia="Times New Roman" w:hAnsi="Times New Roman" w:cs="Times New Roman"/>
          <w:sz w:val="24"/>
          <w:szCs w:val="24"/>
          <w:highlight w:val="white"/>
        </w:rPr>
        <w:t xml:space="preserve">ioridad a la vigencia del DNU porque estaban amparados por una metodología de cálculo más protectora. </w:t>
      </w:r>
    </w:p>
    <w:p w14:paraId="00000011" w14:textId="77777777" w:rsidR="00A26470" w:rsidRDefault="00046C6D">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lo expuesto, solicitamos el voto afirmativo del presente proyecto.</w:t>
      </w:r>
      <w:r>
        <w:rPr>
          <w:rFonts w:ascii="Times New Roman" w:eastAsia="Times New Roman" w:hAnsi="Times New Roman" w:cs="Times New Roman"/>
          <w:sz w:val="24"/>
          <w:szCs w:val="24"/>
          <w:highlight w:val="white"/>
        </w:rPr>
        <w:br/>
      </w:r>
    </w:p>
    <w:p w14:paraId="00000012" w14:textId="77777777" w:rsidR="00A26470" w:rsidRDefault="00A26470">
      <w:pPr>
        <w:spacing w:after="120"/>
        <w:ind w:firstLine="860"/>
        <w:jc w:val="center"/>
        <w:rPr>
          <w:rFonts w:ascii="Times New Roman" w:eastAsia="Times New Roman" w:hAnsi="Times New Roman" w:cs="Times New Roman"/>
          <w:b/>
          <w:sz w:val="24"/>
          <w:szCs w:val="24"/>
        </w:rPr>
      </w:pPr>
    </w:p>
    <w:p w14:paraId="00000013" w14:textId="77777777" w:rsidR="00A26470" w:rsidRDefault="00046C6D">
      <w:pPr>
        <w:spacing w:after="120"/>
        <w:ind w:firstLine="860"/>
        <w:jc w:val="center"/>
        <w:rPr>
          <w:rFonts w:ascii="Times New Roman" w:eastAsia="Times New Roman" w:hAnsi="Times New Roman" w:cs="Times New Roman"/>
          <w:b/>
          <w:sz w:val="24"/>
          <w:szCs w:val="24"/>
        </w:rPr>
      </w:pPr>
      <w:r>
        <w:br w:type="page"/>
      </w:r>
    </w:p>
    <w:p w14:paraId="00000014" w14:textId="77777777" w:rsidR="00A26470" w:rsidRDefault="00046C6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LA HONORABLE CÁMARA DE SENADORES</w:t>
      </w:r>
    </w:p>
    <w:p w14:paraId="00000015" w14:textId="77777777" w:rsidR="00A26470" w:rsidRDefault="00046C6D">
      <w:pPr>
        <w:spacing w:after="24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 LA PROVINCIA DE ENTRE RÍOS</w:t>
      </w:r>
    </w:p>
    <w:p w14:paraId="00000016" w14:textId="77777777" w:rsidR="00A26470" w:rsidRDefault="00046C6D">
      <w:pPr>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D E C L A R A:</w:t>
      </w:r>
    </w:p>
    <w:p w14:paraId="00000017" w14:textId="77777777" w:rsidR="00A26470" w:rsidRDefault="00A26470">
      <w:pPr>
        <w:spacing w:after="240"/>
        <w:rPr>
          <w:rFonts w:ascii="Times New Roman" w:eastAsia="Times New Roman" w:hAnsi="Times New Roman" w:cs="Times New Roman"/>
          <w:sz w:val="24"/>
          <w:szCs w:val="24"/>
        </w:rPr>
      </w:pPr>
    </w:p>
    <w:p w14:paraId="00000018" w14:textId="77777777" w:rsidR="00A26470" w:rsidRDefault="00046C6D">
      <w:pPr>
        <w:spacing w:after="240"/>
        <w:ind w:firstLine="90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Su repudio al Decreto de Necesidad y Urgencia </w:t>
      </w:r>
      <w:r>
        <w:rPr>
          <w:rFonts w:ascii="Times New Roman" w:eastAsia="Times New Roman" w:hAnsi="Times New Roman" w:cs="Times New Roman"/>
          <w:sz w:val="24"/>
          <w:szCs w:val="24"/>
          <w:highlight w:val="white"/>
        </w:rPr>
        <w:t>Nº 669/19 del Poder Ejecutivo Nacional, por resultar violatorio de los derechos constitucionales de los trabajadores damnificados por accidentes y enfermedades laborales.</w:t>
      </w:r>
    </w:p>
    <w:p w14:paraId="00000019" w14:textId="77777777" w:rsidR="00A26470" w:rsidRDefault="00046C6D">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De forma.</w:t>
      </w:r>
    </w:p>
    <w:p w14:paraId="0000001A" w14:textId="77777777" w:rsidR="00A26470" w:rsidRDefault="00A26470">
      <w:pPr>
        <w:spacing w:after="120" w:line="360" w:lineRule="auto"/>
        <w:jc w:val="center"/>
        <w:rPr>
          <w:rFonts w:ascii="Garamond" w:eastAsia="Garamond" w:hAnsi="Garamond" w:cs="Garamond"/>
          <w:sz w:val="24"/>
          <w:szCs w:val="24"/>
        </w:rPr>
      </w:pPr>
    </w:p>
    <w:p w14:paraId="0000001B" w14:textId="77777777" w:rsidR="00A26470" w:rsidRDefault="00A26470"/>
    <w:p w14:paraId="0000001C" w14:textId="77777777" w:rsidR="00A26470" w:rsidRDefault="00A26470"/>
    <w:p w14:paraId="0000001D" w14:textId="77777777" w:rsidR="00A26470" w:rsidRDefault="00A26470">
      <w:pPr>
        <w:rPr>
          <w:rFonts w:ascii="Times New Roman" w:eastAsia="Times New Roman" w:hAnsi="Times New Roman" w:cs="Times New Roman"/>
          <w:b/>
          <w:sz w:val="24"/>
          <w:szCs w:val="24"/>
        </w:rPr>
      </w:pPr>
    </w:p>
    <w:p w14:paraId="0000001E" w14:textId="77777777" w:rsidR="00A26470" w:rsidRDefault="00A26470"/>
    <w:sectPr w:rsidR="00A26470">
      <w:pgSz w:w="11906" w:h="16838"/>
      <w:pgMar w:top="3118" w:right="1133" w:bottom="1133" w:left="2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70"/>
    <w:rsid w:val="00046C6D"/>
    <w:rsid w:val="00A264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C948A-C5ED-4C0E-9CB3-DC203B04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2019-10-15T20:11:00Z</dcterms:created>
  <dcterms:modified xsi:type="dcterms:W3CDTF">2019-10-15T20:11:00Z</dcterms:modified>
</cp:coreProperties>
</file>