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12B59" w:rsidRDefault="00B12B59">
      <w:pPr>
        <w:spacing w:line="360" w:lineRule="auto"/>
        <w:rPr>
          <w:sz w:val="24"/>
          <w:szCs w:val="24"/>
        </w:rPr>
      </w:pPr>
      <w:bookmarkStart w:id="0" w:name="_GoBack"/>
      <w:bookmarkEnd w:id="0"/>
    </w:p>
    <w:p w14:paraId="00000002" w14:textId="77777777" w:rsidR="00B12B59" w:rsidRDefault="00B12B59">
      <w:pPr>
        <w:spacing w:line="360" w:lineRule="auto"/>
        <w:jc w:val="center"/>
        <w:rPr>
          <w:sz w:val="24"/>
          <w:szCs w:val="24"/>
        </w:rPr>
      </w:pPr>
    </w:p>
    <w:p w14:paraId="00000003" w14:textId="77777777" w:rsidR="00B12B59" w:rsidRDefault="006F2912">
      <w:pPr>
        <w:spacing w:line="360" w:lineRule="auto"/>
        <w:jc w:val="center"/>
        <w:rPr>
          <w:sz w:val="24"/>
          <w:szCs w:val="24"/>
        </w:rPr>
      </w:pPr>
      <w:r>
        <w:rPr>
          <w:sz w:val="24"/>
          <w:szCs w:val="24"/>
        </w:rPr>
        <w:t>LA LEGISLATURA DE LA PROVINCIA DE ENTRE RÍOS</w:t>
      </w:r>
    </w:p>
    <w:p w14:paraId="00000004" w14:textId="77777777" w:rsidR="00B12B59" w:rsidRDefault="006F2912">
      <w:pPr>
        <w:spacing w:line="360" w:lineRule="auto"/>
        <w:jc w:val="center"/>
        <w:rPr>
          <w:sz w:val="24"/>
          <w:szCs w:val="24"/>
        </w:rPr>
      </w:pPr>
      <w:r>
        <w:rPr>
          <w:sz w:val="24"/>
          <w:szCs w:val="24"/>
        </w:rPr>
        <w:t xml:space="preserve">SANCIONA CON FUERZA DE </w:t>
      </w:r>
    </w:p>
    <w:p w14:paraId="00000005" w14:textId="77777777" w:rsidR="00B12B59" w:rsidRDefault="006F2912">
      <w:pPr>
        <w:spacing w:line="360" w:lineRule="auto"/>
        <w:jc w:val="center"/>
        <w:rPr>
          <w:sz w:val="24"/>
          <w:szCs w:val="24"/>
        </w:rPr>
      </w:pPr>
      <w:r>
        <w:rPr>
          <w:sz w:val="24"/>
          <w:szCs w:val="24"/>
        </w:rPr>
        <w:t>LEY</w:t>
      </w:r>
    </w:p>
    <w:p w14:paraId="00000006" w14:textId="77777777" w:rsidR="00B12B59" w:rsidRDefault="00B12B59">
      <w:pPr>
        <w:spacing w:line="360" w:lineRule="auto"/>
        <w:jc w:val="center"/>
        <w:rPr>
          <w:sz w:val="24"/>
          <w:szCs w:val="24"/>
        </w:rPr>
      </w:pPr>
    </w:p>
    <w:p w14:paraId="00000007" w14:textId="77777777" w:rsidR="00B12B59" w:rsidRDefault="00B12B59">
      <w:pPr>
        <w:spacing w:line="360" w:lineRule="auto"/>
        <w:rPr>
          <w:sz w:val="24"/>
          <w:szCs w:val="24"/>
        </w:rPr>
      </w:pPr>
    </w:p>
    <w:p w14:paraId="00000008" w14:textId="77777777" w:rsidR="00B12B59" w:rsidRDefault="006F2912">
      <w:pPr>
        <w:numPr>
          <w:ilvl w:val="0"/>
          <w:numId w:val="1"/>
        </w:numPr>
        <w:spacing w:line="360" w:lineRule="auto"/>
        <w:jc w:val="both"/>
        <w:rPr>
          <w:sz w:val="24"/>
          <w:szCs w:val="24"/>
        </w:rPr>
      </w:pPr>
      <w:r>
        <w:rPr>
          <w:sz w:val="24"/>
          <w:szCs w:val="24"/>
        </w:rPr>
        <w:t>Incorpórese el inciso o) al artículo 283 del Código Fiscal (T.O 2018</w:t>
      </w:r>
      <w:r>
        <w:rPr>
          <w:sz w:val="24"/>
          <w:szCs w:val="24"/>
          <w:highlight w:val="white"/>
        </w:rPr>
        <w:t>) que quedará redactado de la siguiente manera</w:t>
      </w:r>
      <w:r>
        <w:rPr>
          <w:sz w:val="24"/>
          <w:szCs w:val="24"/>
        </w:rPr>
        <w:t>:</w:t>
      </w:r>
    </w:p>
    <w:p w14:paraId="00000009" w14:textId="77777777" w:rsidR="00B12B59" w:rsidRDefault="006F2912">
      <w:pPr>
        <w:spacing w:line="360" w:lineRule="auto"/>
        <w:ind w:left="720"/>
        <w:jc w:val="both"/>
        <w:rPr>
          <w:sz w:val="24"/>
          <w:szCs w:val="24"/>
        </w:rPr>
      </w:pPr>
      <w:r>
        <w:rPr>
          <w:sz w:val="24"/>
          <w:szCs w:val="24"/>
        </w:rPr>
        <w:t xml:space="preserve">“o) Los vehículos livianos y pesados autopropulsados por motores en sistemas híbridos-eléctricos en serie-paralelo o serie-paralelo y todo eléctrico. Para que se proceda a la exención, dichas características deben ser originales de fabricación. </w:t>
      </w:r>
    </w:p>
    <w:p w14:paraId="0000000A" w14:textId="77777777" w:rsidR="00B12B59" w:rsidRDefault="006F2912">
      <w:pPr>
        <w:spacing w:line="360" w:lineRule="auto"/>
        <w:ind w:left="720"/>
        <w:jc w:val="both"/>
        <w:rPr>
          <w:sz w:val="24"/>
          <w:szCs w:val="24"/>
        </w:rPr>
      </w:pPr>
      <w:r>
        <w:rPr>
          <w:sz w:val="24"/>
          <w:szCs w:val="24"/>
        </w:rPr>
        <w:t>La Adminis</w:t>
      </w:r>
      <w:r>
        <w:rPr>
          <w:sz w:val="24"/>
          <w:szCs w:val="24"/>
        </w:rPr>
        <w:t>tradora Tributaria de Entre Ríos, en consulta con los organismos del Poder Ejecutivo que estime pertinentes, establecerá cuáles son los requisitos para considerar a estos vehículos alcanzados por la exención.</w:t>
      </w:r>
    </w:p>
    <w:p w14:paraId="0000000B" w14:textId="77777777" w:rsidR="00B12B59" w:rsidRDefault="006F2912">
      <w:pPr>
        <w:numPr>
          <w:ilvl w:val="0"/>
          <w:numId w:val="1"/>
        </w:numPr>
        <w:spacing w:line="360" w:lineRule="auto"/>
        <w:jc w:val="both"/>
        <w:rPr>
          <w:sz w:val="24"/>
          <w:szCs w:val="24"/>
        </w:rPr>
      </w:pPr>
      <w:r>
        <w:rPr>
          <w:sz w:val="24"/>
          <w:szCs w:val="24"/>
        </w:rPr>
        <w:t>Comuníquese, etc.</w:t>
      </w:r>
    </w:p>
    <w:p w14:paraId="0000000C" w14:textId="77777777" w:rsidR="00B12B59" w:rsidRDefault="006F2912">
      <w:pPr>
        <w:spacing w:line="360" w:lineRule="auto"/>
        <w:ind w:left="720"/>
        <w:jc w:val="both"/>
        <w:rPr>
          <w:sz w:val="24"/>
          <w:szCs w:val="24"/>
        </w:rPr>
      </w:pPr>
      <w:r>
        <w:br w:type="page"/>
      </w:r>
    </w:p>
    <w:p w14:paraId="0000000D" w14:textId="77777777" w:rsidR="00B12B59" w:rsidRDefault="00B12B59">
      <w:pPr>
        <w:spacing w:line="360" w:lineRule="auto"/>
        <w:rPr>
          <w:sz w:val="24"/>
          <w:szCs w:val="24"/>
        </w:rPr>
      </w:pPr>
    </w:p>
    <w:p w14:paraId="0000000E" w14:textId="77777777" w:rsidR="00B12B59" w:rsidRDefault="00B12B59">
      <w:pPr>
        <w:spacing w:line="360" w:lineRule="auto"/>
        <w:jc w:val="center"/>
        <w:rPr>
          <w:sz w:val="24"/>
          <w:szCs w:val="24"/>
        </w:rPr>
      </w:pPr>
    </w:p>
    <w:p w14:paraId="0000000F" w14:textId="77777777" w:rsidR="00B12B59" w:rsidRDefault="006F2912">
      <w:pPr>
        <w:spacing w:line="360" w:lineRule="auto"/>
        <w:jc w:val="center"/>
        <w:rPr>
          <w:sz w:val="24"/>
          <w:szCs w:val="24"/>
        </w:rPr>
      </w:pPr>
      <w:r>
        <w:rPr>
          <w:sz w:val="24"/>
          <w:szCs w:val="24"/>
        </w:rPr>
        <w:t>FUNDAMENTOS</w:t>
      </w:r>
    </w:p>
    <w:p w14:paraId="00000010" w14:textId="77777777" w:rsidR="00B12B59" w:rsidRDefault="00B12B59">
      <w:pPr>
        <w:spacing w:line="360" w:lineRule="auto"/>
        <w:jc w:val="center"/>
        <w:rPr>
          <w:sz w:val="24"/>
          <w:szCs w:val="24"/>
        </w:rPr>
      </w:pPr>
    </w:p>
    <w:p w14:paraId="00000011" w14:textId="77777777" w:rsidR="00B12B59" w:rsidRDefault="006F2912">
      <w:pPr>
        <w:spacing w:line="360" w:lineRule="auto"/>
        <w:rPr>
          <w:sz w:val="24"/>
          <w:szCs w:val="24"/>
        </w:rPr>
      </w:pPr>
      <w:r>
        <w:rPr>
          <w:sz w:val="24"/>
          <w:szCs w:val="24"/>
        </w:rPr>
        <w:t>Señor Presid</w:t>
      </w:r>
      <w:r>
        <w:rPr>
          <w:sz w:val="24"/>
          <w:szCs w:val="24"/>
        </w:rPr>
        <w:t>ente:</w:t>
      </w:r>
    </w:p>
    <w:p w14:paraId="00000012" w14:textId="77777777" w:rsidR="00B12B59" w:rsidRDefault="006F2912">
      <w:pPr>
        <w:spacing w:line="360" w:lineRule="auto"/>
        <w:ind w:firstLine="1701"/>
        <w:jc w:val="both"/>
        <w:rPr>
          <w:sz w:val="24"/>
          <w:szCs w:val="24"/>
        </w:rPr>
      </w:pPr>
      <w:r>
        <w:rPr>
          <w:sz w:val="24"/>
          <w:szCs w:val="24"/>
        </w:rPr>
        <w:t>El presente proyecto de Ley tiene por objeto la incorporación de un inciso al artículo 283 del Código Fiscal para incluir dentro de las exenciones al pago del impuesto a los automotores a los vehículos livianos y pesados autopropulsados por motores e</w:t>
      </w:r>
      <w:r>
        <w:rPr>
          <w:sz w:val="24"/>
          <w:szCs w:val="24"/>
        </w:rPr>
        <w:t>n sistemas híbridos-eléctricos en serie-paralelo o serie-paralelo y todo eléctrico.</w:t>
      </w:r>
    </w:p>
    <w:p w14:paraId="00000013" w14:textId="77777777" w:rsidR="00B12B59" w:rsidRDefault="006F2912">
      <w:pPr>
        <w:spacing w:line="360" w:lineRule="auto"/>
        <w:ind w:firstLine="1701"/>
        <w:jc w:val="both"/>
        <w:rPr>
          <w:sz w:val="24"/>
          <w:szCs w:val="24"/>
        </w:rPr>
      </w:pPr>
      <w:r>
        <w:rPr>
          <w:sz w:val="24"/>
          <w:szCs w:val="24"/>
        </w:rPr>
        <w:t>Tal como se expresa en la propuesta del articulado, la Administradora Tributaria de Entre Ríos determinará cuáles son los requisitos para considerar a estos vehículos alcan</w:t>
      </w:r>
      <w:r>
        <w:rPr>
          <w:sz w:val="24"/>
          <w:szCs w:val="24"/>
        </w:rPr>
        <w:t>zados por la exención.</w:t>
      </w:r>
    </w:p>
    <w:p w14:paraId="00000014" w14:textId="77777777" w:rsidR="00B12B59" w:rsidRDefault="006F2912">
      <w:pPr>
        <w:spacing w:line="360" w:lineRule="auto"/>
        <w:ind w:firstLine="1701"/>
        <w:jc w:val="both"/>
        <w:rPr>
          <w:sz w:val="24"/>
          <w:szCs w:val="24"/>
        </w:rPr>
      </w:pPr>
      <w:r>
        <w:rPr>
          <w:sz w:val="24"/>
          <w:szCs w:val="24"/>
        </w:rPr>
        <w:t xml:space="preserve">En la República Argentina no existe una ley sobre vehículos eléctricos y alternativos, si bien </w:t>
      </w:r>
      <w:proofErr w:type="gramStart"/>
      <w:r>
        <w:rPr>
          <w:sz w:val="24"/>
          <w:szCs w:val="24"/>
        </w:rPr>
        <w:t>hubieron</w:t>
      </w:r>
      <w:proofErr w:type="gramEnd"/>
      <w:r>
        <w:rPr>
          <w:sz w:val="24"/>
          <w:szCs w:val="24"/>
        </w:rPr>
        <w:t xml:space="preserve"> iniciativas legislativas que buscaron  reducir en 25% los aranceles de importación de vehículos y componentes al igual que una ex</w:t>
      </w:r>
      <w:r>
        <w:rPr>
          <w:sz w:val="24"/>
          <w:szCs w:val="24"/>
        </w:rPr>
        <w:t xml:space="preserve">ención por 15 años de los impuestos de Ganancias e IVA para los vehículos fabricados en Argentina con al menos 50% de componentes locales. Como normativa nacional, está vigente el  Decreto Nº 331/17 establece alícuotas reducidas del Derecho de Importación </w:t>
      </w:r>
      <w:r>
        <w:rPr>
          <w:sz w:val="24"/>
          <w:szCs w:val="24"/>
        </w:rPr>
        <w:t>Extrazona (D.I.E.), para empresas autorizadas a operar como terminales de la industria automotriz en los términos de la Ley Nº 21.932, del 5 %, 2%  y 0 %, para la importación de determinados vehículos automóviles híbridos, eléctricos y a celdas de combusti</w:t>
      </w:r>
      <w:r>
        <w:rPr>
          <w:sz w:val="24"/>
          <w:szCs w:val="24"/>
        </w:rPr>
        <w:t xml:space="preserve">ble (hidrógeno) por un periodo de 36 meses y un límite máximo de 6.000 unidades. Asimismo, el Decreto N° 260/19 asigna cupos para que las terminales Hyundai Motor Argentina S.A., Renault Argentina S.A., Toyota Argentina S.A. y Mercedes-Benz Argentina S.A. </w:t>
      </w:r>
      <w:r>
        <w:rPr>
          <w:sz w:val="24"/>
          <w:szCs w:val="24"/>
        </w:rPr>
        <w:t>importen vehículos automotores híbridos, eléctricos y a celdas de combustible (Hidrógeno) con la reducción arancelaria prevista en el Decreto Nº 331/17.</w:t>
      </w:r>
    </w:p>
    <w:p w14:paraId="00000015" w14:textId="77777777" w:rsidR="00B12B59" w:rsidRDefault="006F2912">
      <w:pPr>
        <w:spacing w:line="360" w:lineRule="auto"/>
        <w:ind w:firstLine="1701"/>
        <w:jc w:val="both"/>
        <w:rPr>
          <w:sz w:val="24"/>
          <w:szCs w:val="24"/>
        </w:rPr>
      </w:pPr>
      <w:r>
        <w:rPr>
          <w:sz w:val="24"/>
          <w:szCs w:val="24"/>
        </w:rPr>
        <w:t>A nivel provincial, sí existen iniciativas  legislativas al respecto. En la provincia de Mendoza, la le</w:t>
      </w:r>
      <w:r>
        <w:rPr>
          <w:sz w:val="24"/>
          <w:szCs w:val="24"/>
        </w:rPr>
        <w:t>y n° 9.118 en su artículo 8, inciso “d” establece que los vehículos híbridos o eléctricos abonarán en el año 2019 el 50% del Impuesto Automotor.</w:t>
      </w:r>
    </w:p>
    <w:p w14:paraId="00000016" w14:textId="77777777" w:rsidR="00B12B59" w:rsidRDefault="006F2912">
      <w:pPr>
        <w:spacing w:line="360" w:lineRule="auto"/>
        <w:ind w:firstLine="1701"/>
        <w:jc w:val="both"/>
        <w:rPr>
          <w:sz w:val="24"/>
          <w:szCs w:val="24"/>
        </w:rPr>
      </w:pPr>
      <w:r>
        <w:rPr>
          <w:sz w:val="24"/>
          <w:szCs w:val="24"/>
        </w:rPr>
        <w:t>La Legislatura de la provincia de Santa Fe, sancionó la ley n° 13781 que tiene por objeto fomentar la industria</w:t>
      </w:r>
      <w:r>
        <w:rPr>
          <w:sz w:val="24"/>
          <w:szCs w:val="24"/>
        </w:rPr>
        <w:t>lización de vehículos eléctricos y con tecnologías de energías alternativas en el ámbito de la Provincia de Santa Fe, para la movilidad urbana y periurbana. En su artículo 7 establece una serie de incentivos de promoción, entre los que se encuentran la exe</w:t>
      </w:r>
      <w:r>
        <w:rPr>
          <w:sz w:val="24"/>
          <w:szCs w:val="24"/>
        </w:rPr>
        <w:t xml:space="preserve">nción por un plazo de 10 años del pago de patentes. </w:t>
      </w:r>
    </w:p>
    <w:p w14:paraId="00000017" w14:textId="77777777" w:rsidR="00B12B59" w:rsidRDefault="006F2912">
      <w:pPr>
        <w:spacing w:line="360" w:lineRule="auto"/>
        <w:ind w:firstLine="1701"/>
        <w:jc w:val="both"/>
        <w:rPr>
          <w:sz w:val="24"/>
          <w:szCs w:val="24"/>
        </w:rPr>
      </w:pPr>
      <w:r>
        <w:rPr>
          <w:sz w:val="24"/>
          <w:szCs w:val="24"/>
        </w:rPr>
        <w:t xml:space="preserve">Finalmente, la Ciudad Autónoma de Buenos Aires mediante el artículo 373 inciso 7 del Código Fiscal establece la exención del pago de patentes para los vehículos híbridos-eléctricos y eléctricos. </w:t>
      </w:r>
    </w:p>
    <w:p w14:paraId="00000018" w14:textId="77777777" w:rsidR="00B12B59" w:rsidRDefault="006F2912">
      <w:pPr>
        <w:spacing w:line="360" w:lineRule="auto"/>
        <w:ind w:firstLine="1701"/>
        <w:jc w:val="both"/>
        <w:rPr>
          <w:sz w:val="24"/>
          <w:szCs w:val="24"/>
        </w:rPr>
      </w:pPr>
      <w:r>
        <w:rPr>
          <w:sz w:val="24"/>
          <w:szCs w:val="24"/>
        </w:rPr>
        <w:t>La prom</w:t>
      </w:r>
      <w:r>
        <w:rPr>
          <w:sz w:val="24"/>
          <w:szCs w:val="24"/>
        </w:rPr>
        <w:t>oción de la utilización de vehículos eléctricos, está fundamentada en las estimaciones que establece el informe elaborado por el Programa de Naciones Unidas para el Medio Ambiente (PNUMA) titulado “Movilidad Eléctrica, Oportunidades para Latinoamérica”,  q</w:t>
      </w:r>
      <w:r>
        <w:rPr>
          <w:sz w:val="24"/>
          <w:szCs w:val="24"/>
        </w:rPr>
        <w:t>ue indica que la flota de automóviles en Latinoamérica podría triplicarse en los próximos veinticinco años, llegando a superar las 200 millones de unidades en el año 2050. Este crecimiento tendrá un efecto importante en la demanda de combustibles, así como</w:t>
      </w:r>
      <w:r>
        <w:rPr>
          <w:sz w:val="24"/>
          <w:szCs w:val="24"/>
        </w:rPr>
        <w:t xml:space="preserve"> en el aumento de las emisiones de gases de efecto invernadero (GEI) y otros contaminantes emitidos por el transporte (el 30% de los gases de efecto invernadero del mundo provienen del transporte y la movilidad). El despliegue de la movilidad eléctrica en </w:t>
      </w:r>
      <w:r>
        <w:rPr>
          <w:sz w:val="24"/>
          <w:szCs w:val="24"/>
        </w:rPr>
        <w:t>la región significaría una disminución aproximada de 1,4 Giga toneladas de CO2 y un ahorro en combustibles cercano a 85 mil millones de dólares para el periodo 2016-2050.</w:t>
      </w:r>
    </w:p>
    <w:p w14:paraId="00000019" w14:textId="77777777" w:rsidR="00B12B59" w:rsidRDefault="006F2912">
      <w:pPr>
        <w:spacing w:line="360" w:lineRule="auto"/>
        <w:ind w:left="6" w:firstLine="1695"/>
        <w:jc w:val="both"/>
        <w:rPr>
          <w:sz w:val="24"/>
          <w:szCs w:val="24"/>
        </w:rPr>
      </w:pPr>
      <w:r>
        <w:rPr>
          <w:sz w:val="24"/>
          <w:szCs w:val="24"/>
        </w:rPr>
        <w:t>En función de lo expuesto, solicito a los señores legisladores acompañen con su voto favorable el presente proyecto de Ley.</w:t>
      </w:r>
    </w:p>
    <w:p w14:paraId="0000001A" w14:textId="77777777" w:rsidR="00B12B59" w:rsidRDefault="00B12B59">
      <w:pPr>
        <w:spacing w:line="360" w:lineRule="auto"/>
        <w:ind w:firstLine="1701"/>
        <w:jc w:val="both"/>
        <w:rPr>
          <w:rFonts w:ascii="Ubuntu" w:eastAsia="Ubuntu" w:hAnsi="Ubuntu" w:cs="Ubuntu"/>
          <w:color w:val="444444"/>
          <w:sz w:val="27"/>
          <w:szCs w:val="27"/>
          <w:highlight w:val="white"/>
        </w:rPr>
      </w:pPr>
    </w:p>
    <w:sectPr w:rsidR="00B12B59">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A8C9A" w14:textId="77777777" w:rsidR="006F2912" w:rsidRDefault="006F2912">
      <w:pPr>
        <w:spacing w:line="240" w:lineRule="auto"/>
      </w:pPr>
      <w:r>
        <w:separator/>
      </w:r>
    </w:p>
  </w:endnote>
  <w:endnote w:type="continuationSeparator" w:id="0">
    <w:p w14:paraId="6CC44240" w14:textId="77777777" w:rsidR="006F2912" w:rsidRDefault="006F29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E4B84" w14:textId="77777777" w:rsidR="006F2912" w:rsidRDefault="006F2912">
      <w:pPr>
        <w:spacing w:line="240" w:lineRule="auto"/>
      </w:pPr>
      <w:r>
        <w:separator/>
      </w:r>
    </w:p>
  </w:footnote>
  <w:footnote w:type="continuationSeparator" w:id="0">
    <w:p w14:paraId="13354E9F" w14:textId="77777777" w:rsidR="006F2912" w:rsidRDefault="006F29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B" w14:textId="77777777" w:rsidR="00B12B59" w:rsidRDefault="00B12B59"/>
  <w:p w14:paraId="0000001C" w14:textId="77777777" w:rsidR="00B12B59" w:rsidRDefault="00B12B59"/>
  <w:p w14:paraId="0000001D" w14:textId="77777777" w:rsidR="00B12B59" w:rsidRDefault="00B12B59"/>
  <w:p w14:paraId="0000001E" w14:textId="77777777" w:rsidR="00B12B59" w:rsidRDefault="00B12B59"/>
  <w:p w14:paraId="0000001F" w14:textId="77777777" w:rsidR="00B12B59" w:rsidRDefault="00B12B59"/>
  <w:p w14:paraId="00000020" w14:textId="77777777" w:rsidR="00B12B59" w:rsidRDefault="00B12B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C0ABD"/>
    <w:multiLevelType w:val="multilevel"/>
    <w:tmpl w:val="57C47DEE"/>
    <w:lvl w:ilvl="0">
      <w:start w:val="1"/>
      <w:numFmt w:val="decimal"/>
      <w:lvlText w:val="Artículo %1."/>
      <w:lvlJc w:val="left"/>
      <w:pPr>
        <w:ind w:left="720" w:hanging="360"/>
      </w:pPr>
      <w:rPr>
        <w:b/>
        <w:u w:val="none"/>
      </w:rPr>
    </w:lvl>
    <w:lvl w:ilvl="1">
      <w:start w:val="1"/>
      <w:numFmt w:val="lowerLetter"/>
      <w:lvlText w:val="%2."/>
      <w:lvlJc w:val="left"/>
      <w:pPr>
        <w:ind w:left="1440" w:hanging="360"/>
      </w:pPr>
      <w:rPr>
        <w:b/>
        <w:u w:val="none"/>
      </w:rPr>
    </w:lvl>
    <w:lvl w:ilvl="2">
      <w:start w:val="1"/>
      <w:numFmt w:val="lowerRoman"/>
      <w:lvlText w:val="Artículo %3."/>
      <w:lvlJc w:val="right"/>
      <w:pPr>
        <w:ind w:left="2160" w:hanging="360"/>
      </w:pPr>
      <w:rPr>
        <w:u w:val="none"/>
      </w:rPr>
    </w:lvl>
    <w:lvl w:ilvl="3">
      <w:start w:val="1"/>
      <w:numFmt w:val="decimal"/>
      <w:lvlText w:val="Artículo %4."/>
      <w:lvlJc w:val="left"/>
      <w:pPr>
        <w:ind w:left="2880" w:hanging="360"/>
      </w:pPr>
      <w:rPr>
        <w:u w:val="none"/>
      </w:rPr>
    </w:lvl>
    <w:lvl w:ilvl="4">
      <w:start w:val="1"/>
      <w:numFmt w:val="lowerLetter"/>
      <w:lvlText w:val="Artículo %5."/>
      <w:lvlJc w:val="left"/>
      <w:pPr>
        <w:ind w:left="3600" w:hanging="360"/>
      </w:pPr>
      <w:rPr>
        <w:u w:val="none"/>
      </w:rPr>
    </w:lvl>
    <w:lvl w:ilvl="5">
      <w:start w:val="1"/>
      <w:numFmt w:val="lowerRoman"/>
      <w:lvlText w:val="Artículo %6."/>
      <w:lvlJc w:val="right"/>
      <w:pPr>
        <w:ind w:left="4320" w:hanging="360"/>
      </w:pPr>
      <w:rPr>
        <w:u w:val="none"/>
      </w:rPr>
    </w:lvl>
    <w:lvl w:ilvl="6">
      <w:start w:val="1"/>
      <w:numFmt w:val="decimal"/>
      <w:lvlText w:val="Artículo %7."/>
      <w:lvlJc w:val="left"/>
      <w:pPr>
        <w:ind w:left="5040" w:hanging="360"/>
      </w:pPr>
      <w:rPr>
        <w:u w:val="none"/>
      </w:rPr>
    </w:lvl>
    <w:lvl w:ilvl="7">
      <w:start w:val="1"/>
      <w:numFmt w:val="lowerLetter"/>
      <w:lvlText w:val="Artículo %8."/>
      <w:lvlJc w:val="left"/>
      <w:pPr>
        <w:ind w:left="5760" w:hanging="360"/>
      </w:pPr>
      <w:rPr>
        <w:u w:val="none"/>
      </w:rPr>
    </w:lvl>
    <w:lvl w:ilvl="8">
      <w:start w:val="1"/>
      <w:numFmt w:val="lowerRoman"/>
      <w:lvlText w:val="Artículo %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B59"/>
    <w:rsid w:val="00175706"/>
    <w:rsid w:val="006F2912"/>
    <w:rsid w:val="00B12B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BA69F3-8692-4B40-B812-CEC56540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3663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2</cp:revision>
  <dcterms:created xsi:type="dcterms:W3CDTF">2019-11-26T20:37:00Z</dcterms:created>
  <dcterms:modified xsi:type="dcterms:W3CDTF">2019-11-26T20:37:00Z</dcterms:modified>
</cp:coreProperties>
</file>