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28" w:rsidRDefault="00D90528" w:rsidP="00D90528">
      <w:pPr>
        <w:pStyle w:val="Textoindependiente"/>
        <w:spacing w:line="288" w:lineRule="auto"/>
        <w:ind w:right="-51"/>
        <w:jc w:val="center"/>
        <w:rPr>
          <w:rFonts w:ascii="Century Gothic" w:hAnsi="Century Gothic" w:cs="Times New Roman"/>
          <w:spacing w:val="20"/>
          <w:sz w:val="22"/>
          <w:szCs w:val="22"/>
        </w:rPr>
      </w:pPr>
    </w:p>
    <w:p w:rsidR="00F37E6B" w:rsidRPr="006D6A84" w:rsidRDefault="00F37E6B" w:rsidP="00D90528">
      <w:pPr>
        <w:pStyle w:val="Textoindependiente"/>
        <w:spacing w:line="288" w:lineRule="auto"/>
        <w:ind w:right="-51"/>
        <w:jc w:val="center"/>
        <w:rPr>
          <w:rFonts w:ascii="Century Gothic" w:hAnsi="Century Gothic" w:cs="Times New Roman"/>
          <w:spacing w:val="20"/>
          <w:sz w:val="22"/>
          <w:szCs w:val="22"/>
        </w:rPr>
      </w:pPr>
      <w:r w:rsidRPr="006D6A84">
        <w:rPr>
          <w:rFonts w:ascii="Century Gothic" w:hAnsi="Century Gothic" w:cs="Times New Roman"/>
          <w:spacing w:val="20"/>
          <w:sz w:val="22"/>
          <w:szCs w:val="22"/>
        </w:rPr>
        <w:t>LA LEGISLATURA DE LA PROVINCIA DE ENTRE RÍOS SANCIONA CON</w:t>
      </w:r>
    </w:p>
    <w:p w:rsidR="00F37E6B" w:rsidRPr="006D6A84" w:rsidRDefault="00F37E6B" w:rsidP="00D90528">
      <w:pPr>
        <w:pStyle w:val="Textoindependiente"/>
        <w:spacing w:line="288" w:lineRule="auto"/>
        <w:ind w:right="-51"/>
        <w:jc w:val="center"/>
        <w:rPr>
          <w:rFonts w:ascii="Century Gothic" w:hAnsi="Century Gothic" w:cs="Times New Roman"/>
          <w:spacing w:val="20"/>
          <w:sz w:val="22"/>
          <w:szCs w:val="22"/>
        </w:rPr>
      </w:pPr>
      <w:r w:rsidRPr="006D6A84">
        <w:rPr>
          <w:rFonts w:ascii="Century Gothic" w:hAnsi="Century Gothic" w:cs="Times New Roman"/>
          <w:spacing w:val="20"/>
          <w:sz w:val="22"/>
          <w:szCs w:val="22"/>
        </w:rPr>
        <w:t>FUERZA DE</w:t>
      </w:r>
    </w:p>
    <w:p w:rsidR="006435B6" w:rsidRDefault="006435B6" w:rsidP="00D90528">
      <w:pPr>
        <w:spacing w:line="288" w:lineRule="auto"/>
        <w:ind w:right="-51"/>
        <w:jc w:val="center"/>
        <w:rPr>
          <w:rFonts w:ascii="Century Gothic" w:hAnsi="Century Gothic" w:cs="Arial"/>
          <w:b/>
          <w:spacing w:val="20"/>
          <w:sz w:val="22"/>
          <w:szCs w:val="22"/>
        </w:rPr>
      </w:pPr>
      <w:r w:rsidRPr="006D6A84">
        <w:rPr>
          <w:rFonts w:ascii="Century Gothic" w:hAnsi="Century Gothic" w:cs="Arial"/>
          <w:b/>
          <w:spacing w:val="20"/>
          <w:sz w:val="22"/>
          <w:szCs w:val="22"/>
        </w:rPr>
        <w:t>L E Y</w:t>
      </w:r>
      <w:r w:rsidR="00F37E6B" w:rsidRPr="006D6A84">
        <w:rPr>
          <w:rFonts w:ascii="Century Gothic" w:hAnsi="Century Gothic" w:cs="Arial"/>
          <w:b/>
          <w:spacing w:val="20"/>
          <w:sz w:val="22"/>
          <w:szCs w:val="22"/>
        </w:rPr>
        <w:t>:</w:t>
      </w:r>
    </w:p>
    <w:p w:rsidR="00D90528" w:rsidRPr="006D6A84" w:rsidRDefault="00D90528" w:rsidP="006D6A84">
      <w:pPr>
        <w:spacing w:line="288" w:lineRule="auto"/>
        <w:ind w:right="-51" w:firstLine="4253"/>
        <w:rPr>
          <w:rFonts w:ascii="Century Gothic" w:hAnsi="Century Gothic" w:cs="Arial"/>
          <w:b/>
          <w:spacing w:val="20"/>
          <w:sz w:val="22"/>
          <w:szCs w:val="22"/>
        </w:rPr>
      </w:pPr>
    </w:p>
    <w:p w:rsidR="006435B6" w:rsidRPr="006D6A84" w:rsidRDefault="006435B6" w:rsidP="006D6A84">
      <w:pPr>
        <w:spacing w:line="288" w:lineRule="auto"/>
        <w:ind w:right="-51"/>
        <w:jc w:val="both"/>
        <w:rPr>
          <w:rFonts w:ascii="Century Gothic" w:hAnsi="Century Gothic" w:cs="Arial"/>
          <w:spacing w:val="20"/>
          <w:sz w:val="22"/>
          <w:szCs w:val="22"/>
        </w:rPr>
      </w:pPr>
    </w:p>
    <w:p w:rsidR="00165E1F" w:rsidRDefault="00802DAF" w:rsidP="006D6A84">
      <w:pPr>
        <w:spacing w:line="288" w:lineRule="auto"/>
        <w:ind w:right="-51"/>
        <w:jc w:val="both"/>
        <w:rPr>
          <w:rFonts w:ascii="Century Gothic" w:hAnsi="Century Gothic" w:cs="Arial"/>
          <w:spacing w:val="20"/>
          <w:sz w:val="22"/>
          <w:szCs w:val="22"/>
        </w:rPr>
      </w:pPr>
      <w:r w:rsidRPr="006D6A84">
        <w:rPr>
          <w:rFonts w:ascii="Century Gothic" w:hAnsi="Century Gothic" w:cs="Arial"/>
          <w:b/>
          <w:spacing w:val="20"/>
          <w:sz w:val="22"/>
          <w:szCs w:val="22"/>
          <w:u w:val="single"/>
        </w:rPr>
        <w:t>ARTÍCULO</w:t>
      </w:r>
      <w:r w:rsidR="006435B6" w:rsidRPr="006D6A84">
        <w:rPr>
          <w:rFonts w:ascii="Century Gothic" w:hAnsi="Century Gothic" w:cs="Arial"/>
          <w:b/>
          <w:spacing w:val="20"/>
          <w:sz w:val="22"/>
          <w:szCs w:val="22"/>
          <w:u w:val="single"/>
        </w:rPr>
        <w:t xml:space="preserve"> 1°.-</w:t>
      </w:r>
      <w:r w:rsidR="006435B6" w:rsidRPr="006D6A84"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="00E33ACC" w:rsidRPr="006D6A84">
        <w:rPr>
          <w:rFonts w:ascii="Century Gothic" w:hAnsi="Century Gothic" w:cs="Arial"/>
          <w:spacing w:val="20"/>
          <w:sz w:val="22"/>
          <w:szCs w:val="22"/>
        </w:rPr>
        <w:t xml:space="preserve">Autorízase al </w:t>
      </w:r>
      <w:r w:rsidR="00E051A2" w:rsidRPr="006D6A84"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="006435B6" w:rsidRPr="006D6A84">
        <w:rPr>
          <w:rFonts w:ascii="Century Gothic" w:hAnsi="Century Gothic" w:cs="Arial"/>
          <w:spacing w:val="20"/>
          <w:sz w:val="22"/>
          <w:szCs w:val="22"/>
        </w:rPr>
        <w:t>Instituto Autárquico de Planeamiento y Vivienda</w:t>
      </w:r>
      <w:r w:rsidRPr="006D6A84">
        <w:rPr>
          <w:rFonts w:ascii="Century Gothic" w:hAnsi="Century Gothic" w:cs="Arial"/>
          <w:spacing w:val="20"/>
          <w:sz w:val="22"/>
          <w:szCs w:val="22"/>
        </w:rPr>
        <w:t xml:space="preserve"> a Do</w:t>
      </w:r>
      <w:r w:rsidR="006A2DF6" w:rsidRPr="006D6A84">
        <w:rPr>
          <w:rFonts w:ascii="Century Gothic" w:hAnsi="Century Gothic" w:cs="Arial"/>
          <w:spacing w:val="20"/>
          <w:sz w:val="22"/>
          <w:szCs w:val="22"/>
        </w:rPr>
        <w:t>n</w:t>
      </w:r>
      <w:r w:rsidR="00E433C3" w:rsidRPr="006D6A84">
        <w:rPr>
          <w:rFonts w:ascii="Century Gothic" w:hAnsi="Century Gothic" w:cs="Arial"/>
          <w:spacing w:val="20"/>
          <w:sz w:val="22"/>
          <w:szCs w:val="22"/>
        </w:rPr>
        <w:t>a</w:t>
      </w:r>
      <w:r w:rsidR="008053D7" w:rsidRPr="006D6A84">
        <w:rPr>
          <w:rFonts w:ascii="Century Gothic" w:hAnsi="Century Gothic" w:cs="Arial"/>
          <w:spacing w:val="20"/>
          <w:sz w:val="22"/>
          <w:szCs w:val="22"/>
        </w:rPr>
        <w:t>r</w:t>
      </w:r>
      <w:r w:rsidR="00E433C3" w:rsidRPr="006D6A84">
        <w:rPr>
          <w:rFonts w:ascii="Century Gothic" w:hAnsi="Century Gothic" w:cs="Arial"/>
          <w:spacing w:val="20"/>
          <w:sz w:val="22"/>
          <w:szCs w:val="22"/>
        </w:rPr>
        <w:t xml:space="preserve"> a la Municipalidad de Paraná</w:t>
      </w:r>
      <w:r w:rsidRPr="006D6A84">
        <w:rPr>
          <w:rFonts w:ascii="Century Gothic" w:hAnsi="Century Gothic" w:cs="Arial"/>
          <w:spacing w:val="20"/>
          <w:sz w:val="22"/>
          <w:szCs w:val="22"/>
        </w:rPr>
        <w:t>,</w:t>
      </w:r>
      <w:r w:rsidR="006435B6" w:rsidRPr="006D6A84"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="005A17A3" w:rsidRPr="006D6A84">
        <w:rPr>
          <w:rFonts w:ascii="Century Gothic" w:hAnsi="Century Gothic" w:cs="Arial"/>
          <w:spacing w:val="20"/>
          <w:sz w:val="22"/>
          <w:szCs w:val="22"/>
        </w:rPr>
        <w:t>dos</w:t>
      </w:r>
      <w:r w:rsidR="009A4B4E" w:rsidRPr="006D6A84"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="0005455E" w:rsidRPr="006D6A84">
        <w:rPr>
          <w:rFonts w:ascii="Century Gothic" w:hAnsi="Century Gothic" w:cs="Arial"/>
          <w:spacing w:val="20"/>
          <w:sz w:val="22"/>
          <w:szCs w:val="22"/>
        </w:rPr>
        <w:t>Inmueble</w:t>
      </w:r>
      <w:r w:rsidR="00605D9D" w:rsidRPr="006D6A84">
        <w:rPr>
          <w:rFonts w:ascii="Century Gothic" w:hAnsi="Century Gothic" w:cs="Arial"/>
          <w:spacing w:val="20"/>
          <w:sz w:val="22"/>
          <w:szCs w:val="22"/>
        </w:rPr>
        <w:t>s</w:t>
      </w:r>
      <w:r w:rsidR="0005455E" w:rsidRPr="006D6A84">
        <w:rPr>
          <w:rFonts w:ascii="Century Gothic" w:hAnsi="Century Gothic" w:cs="Arial"/>
          <w:spacing w:val="20"/>
          <w:sz w:val="22"/>
          <w:szCs w:val="22"/>
        </w:rPr>
        <w:t xml:space="preserve"> de su propiedad</w:t>
      </w:r>
      <w:r w:rsidR="006435B6" w:rsidRPr="006D6A84">
        <w:rPr>
          <w:rFonts w:ascii="Century Gothic" w:hAnsi="Century Gothic" w:cs="Arial"/>
          <w:spacing w:val="20"/>
          <w:sz w:val="22"/>
          <w:szCs w:val="22"/>
        </w:rPr>
        <w:t>,</w:t>
      </w:r>
      <w:r w:rsidR="00FF1063" w:rsidRPr="006D6A84"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="00E433C3" w:rsidRPr="006D6A84">
        <w:rPr>
          <w:rFonts w:ascii="Century Gothic" w:hAnsi="Century Gothic"/>
          <w:spacing w:val="20"/>
          <w:sz w:val="22"/>
          <w:szCs w:val="22"/>
        </w:rPr>
        <w:t xml:space="preserve">con Destino a </w:t>
      </w:r>
      <w:r w:rsidR="00605D9D" w:rsidRPr="006D6A84">
        <w:rPr>
          <w:rFonts w:ascii="Century Gothic" w:hAnsi="Century Gothic"/>
          <w:spacing w:val="20"/>
          <w:sz w:val="22"/>
          <w:szCs w:val="22"/>
        </w:rPr>
        <w:t>“</w:t>
      </w:r>
      <w:r w:rsidR="005A17A3" w:rsidRPr="006D6A84">
        <w:rPr>
          <w:rFonts w:ascii="Century Gothic" w:hAnsi="Century Gothic"/>
          <w:spacing w:val="20"/>
          <w:sz w:val="22"/>
          <w:szCs w:val="22"/>
        </w:rPr>
        <w:t>Calles</w:t>
      </w:r>
      <w:r w:rsidR="00430E11">
        <w:rPr>
          <w:rFonts w:ascii="Century Gothic" w:hAnsi="Century Gothic"/>
          <w:spacing w:val="20"/>
          <w:sz w:val="22"/>
          <w:szCs w:val="22"/>
        </w:rPr>
        <w:t xml:space="preserve"> Públicas</w:t>
      </w:r>
      <w:r w:rsidR="00605D9D" w:rsidRPr="006D6A84">
        <w:rPr>
          <w:rFonts w:ascii="Century Gothic" w:hAnsi="Century Gothic"/>
          <w:spacing w:val="20"/>
          <w:sz w:val="22"/>
          <w:szCs w:val="22"/>
        </w:rPr>
        <w:t>”</w:t>
      </w:r>
      <w:r w:rsidR="000B664B" w:rsidRPr="006D6A84">
        <w:rPr>
          <w:rFonts w:ascii="Century Gothic" w:hAnsi="Century Gothic"/>
          <w:spacing w:val="20"/>
          <w:sz w:val="22"/>
          <w:szCs w:val="22"/>
        </w:rPr>
        <w:t>,</w:t>
      </w:r>
      <w:r w:rsidR="00605D9D" w:rsidRPr="006D6A84">
        <w:rPr>
          <w:rFonts w:ascii="Century Gothic" w:hAnsi="Century Gothic"/>
          <w:spacing w:val="20"/>
          <w:sz w:val="22"/>
          <w:szCs w:val="22"/>
        </w:rPr>
        <w:t xml:space="preserve"> del Grupo Habitacional “</w:t>
      </w:r>
      <w:r w:rsidR="005A17A3" w:rsidRPr="006D6A84">
        <w:rPr>
          <w:rFonts w:ascii="Century Gothic" w:hAnsi="Century Gothic"/>
          <w:spacing w:val="20"/>
          <w:sz w:val="22"/>
          <w:szCs w:val="22"/>
        </w:rPr>
        <w:t>Paraná 170 viviendas”</w:t>
      </w:r>
      <w:r w:rsidR="00605D9D" w:rsidRPr="006D6A84">
        <w:rPr>
          <w:rFonts w:ascii="Century Gothic" w:hAnsi="Century Gothic"/>
          <w:spacing w:val="20"/>
          <w:sz w:val="22"/>
          <w:szCs w:val="22"/>
        </w:rPr>
        <w:t>;</w:t>
      </w:r>
      <w:r w:rsidR="00032E59" w:rsidRPr="006D6A84">
        <w:rPr>
          <w:rFonts w:ascii="Century Gothic" w:hAnsi="Century Gothic"/>
          <w:spacing w:val="20"/>
          <w:sz w:val="22"/>
          <w:szCs w:val="22"/>
        </w:rPr>
        <w:t xml:space="preserve"> </w:t>
      </w:r>
      <w:r w:rsidR="000B664B" w:rsidRPr="006D6A84">
        <w:rPr>
          <w:rFonts w:ascii="Century Gothic" w:hAnsi="Century Gothic"/>
          <w:spacing w:val="20"/>
          <w:sz w:val="22"/>
          <w:szCs w:val="22"/>
        </w:rPr>
        <w:t xml:space="preserve"> </w:t>
      </w:r>
      <w:r w:rsidRPr="006D6A84">
        <w:rPr>
          <w:rFonts w:ascii="Century Gothic" w:hAnsi="Century Gothic" w:cs="Arial"/>
          <w:spacing w:val="20"/>
          <w:sz w:val="22"/>
          <w:szCs w:val="22"/>
        </w:rPr>
        <w:t>Inmueble</w:t>
      </w:r>
      <w:r w:rsidR="00605D9D" w:rsidRPr="006D6A84">
        <w:rPr>
          <w:rFonts w:ascii="Century Gothic" w:hAnsi="Century Gothic" w:cs="Arial"/>
          <w:spacing w:val="20"/>
          <w:sz w:val="22"/>
          <w:szCs w:val="22"/>
        </w:rPr>
        <w:t>s</w:t>
      </w:r>
      <w:r w:rsidRPr="006D6A84"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="00032E59" w:rsidRPr="006D6A84"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="0005455E" w:rsidRPr="006D6A84">
        <w:rPr>
          <w:rFonts w:ascii="Century Gothic" w:hAnsi="Century Gothic" w:cs="Arial"/>
          <w:spacing w:val="20"/>
          <w:sz w:val="22"/>
          <w:szCs w:val="22"/>
        </w:rPr>
        <w:t>que se</w:t>
      </w:r>
      <w:r w:rsidR="00032E59" w:rsidRPr="006D6A84"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="0005455E" w:rsidRPr="006D6A84">
        <w:rPr>
          <w:rFonts w:ascii="Century Gothic" w:hAnsi="Century Gothic" w:cs="Arial"/>
          <w:spacing w:val="20"/>
          <w:sz w:val="22"/>
          <w:szCs w:val="22"/>
        </w:rPr>
        <w:t xml:space="preserve"> ubica</w:t>
      </w:r>
      <w:r w:rsidR="00605D9D" w:rsidRPr="006D6A84">
        <w:rPr>
          <w:rFonts w:ascii="Century Gothic" w:hAnsi="Century Gothic" w:cs="Arial"/>
          <w:spacing w:val="20"/>
          <w:sz w:val="22"/>
          <w:szCs w:val="22"/>
        </w:rPr>
        <w:t>n</w:t>
      </w:r>
      <w:r w:rsidR="006435B6" w:rsidRPr="006D6A84">
        <w:rPr>
          <w:rFonts w:ascii="Century Gothic" w:hAnsi="Century Gothic" w:cs="Arial"/>
          <w:spacing w:val="20"/>
          <w:sz w:val="22"/>
          <w:szCs w:val="22"/>
        </w:rPr>
        <w:t xml:space="preserve"> e identifica</w:t>
      </w:r>
      <w:r w:rsidR="00605D9D" w:rsidRPr="006D6A84">
        <w:rPr>
          <w:rFonts w:ascii="Century Gothic" w:hAnsi="Century Gothic" w:cs="Arial"/>
          <w:spacing w:val="20"/>
          <w:sz w:val="22"/>
          <w:szCs w:val="22"/>
        </w:rPr>
        <w:t>n</w:t>
      </w:r>
      <w:r w:rsidR="006435B6" w:rsidRPr="006D6A84">
        <w:rPr>
          <w:rFonts w:ascii="Century Gothic" w:hAnsi="Century Gothic" w:cs="Arial"/>
          <w:spacing w:val="20"/>
          <w:sz w:val="22"/>
          <w:szCs w:val="22"/>
        </w:rPr>
        <w:t xml:space="preserve"> de la siguiente forma:</w:t>
      </w:r>
    </w:p>
    <w:p w:rsidR="00D90528" w:rsidRPr="006D6A84" w:rsidRDefault="00D90528" w:rsidP="006D6A84">
      <w:pPr>
        <w:spacing w:line="288" w:lineRule="auto"/>
        <w:ind w:right="-51"/>
        <w:jc w:val="both"/>
        <w:rPr>
          <w:rFonts w:ascii="Century Gothic" w:hAnsi="Century Gothic" w:cs="Arial"/>
          <w:spacing w:val="20"/>
          <w:sz w:val="22"/>
          <w:szCs w:val="22"/>
        </w:rPr>
      </w:pPr>
    </w:p>
    <w:p w:rsidR="000B664B" w:rsidRPr="006D6A84" w:rsidRDefault="000B664B" w:rsidP="006D6A84">
      <w:pPr>
        <w:spacing w:line="288" w:lineRule="auto"/>
        <w:ind w:right="-51"/>
        <w:jc w:val="both"/>
        <w:rPr>
          <w:rFonts w:ascii="Century Gothic" w:hAnsi="Century Gothic" w:cs="Arial"/>
          <w:b/>
          <w:bCs/>
          <w:spacing w:val="20"/>
          <w:sz w:val="22"/>
          <w:szCs w:val="22"/>
        </w:rPr>
      </w:pPr>
    </w:p>
    <w:p w:rsidR="00D90528" w:rsidRDefault="005A17A3" w:rsidP="006D6A84">
      <w:pPr>
        <w:spacing w:line="288" w:lineRule="auto"/>
        <w:jc w:val="both"/>
        <w:rPr>
          <w:rFonts w:ascii="Century Gothic" w:hAnsi="Century Gothic"/>
          <w:spacing w:val="20"/>
          <w:sz w:val="22"/>
          <w:szCs w:val="22"/>
        </w:rPr>
      </w:pPr>
      <w:r w:rsidRPr="006D6A84">
        <w:rPr>
          <w:rFonts w:ascii="Century Gothic" w:hAnsi="Century Gothic"/>
          <w:b/>
          <w:spacing w:val="20"/>
          <w:sz w:val="22"/>
          <w:szCs w:val="22"/>
        </w:rPr>
        <w:t xml:space="preserve">A) Plano de Mensura Nº 206.337  - Lote CALLE - </w:t>
      </w:r>
      <w:r w:rsidRPr="006D6A84">
        <w:rPr>
          <w:rFonts w:ascii="Century Gothic" w:hAnsi="Century Gothic"/>
          <w:spacing w:val="20"/>
          <w:sz w:val="22"/>
          <w:szCs w:val="22"/>
        </w:rPr>
        <w:t xml:space="preserve">Partida Provincial: 104.805 - Localización: PROVINCIA DE ENTRE RIOS – Departamento PARANA – Municipio de Paraná – Área Urbana – Distrito U.R.7. – Sección 7º - Grupo 59 – Manzana 5.- Distrito U.R.9. – Sección 7º - Grupo 60 – Manzana 5.-  Domicilio Parcelario: </w:t>
      </w:r>
      <w:r w:rsidR="00032E59" w:rsidRPr="006D6A84">
        <w:rPr>
          <w:rFonts w:ascii="Century Gothic" w:hAnsi="Century Gothic"/>
          <w:spacing w:val="20"/>
          <w:sz w:val="22"/>
          <w:szCs w:val="22"/>
        </w:rPr>
        <w:t xml:space="preserve">Calle -  </w:t>
      </w:r>
      <w:r w:rsidRPr="006D6A84">
        <w:rPr>
          <w:rFonts w:ascii="Century Gothic" w:hAnsi="Century Gothic"/>
          <w:spacing w:val="20"/>
          <w:sz w:val="22"/>
          <w:szCs w:val="22"/>
        </w:rPr>
        <w:t xml:space="preserve"> Superficie: 21.926,83 m2 (Veintiún mil novecientos veintiséis metros cuadrados con ochenta y tres decímetros cuadrados).-  Exceso: 3.140,75 m2 -  </w:t>
      </w:r>
      <w:r w:rsidRPr="006D6A84">
        <w:rPr>
          <w:rFonts w:ascii="Century Gothic" w:hAnsi="Century Gothic"/>
          <w:b/>
          <w:spacing w:val="20"/>
          <w:sz w:val="22"/>
          <w:szCs w:val="22"/>
        </w:rPr>
        <w:t xml:space="preserve">Matrícula: 153.312  - Limites y Linderos: Polígono Exterior: </w:t>
      </w:r>
      <w:r w:rsidRPr="006D6A84">
        <w:rPr>
          <w:rFonts w:ascii="Century Gothic" w:hAnsi="Century Gothic"/>
          <w:b/>
          <w:spacing w:val="20"/>
          <w:sz w:val="22"/>
          <w:szCs w:val="22"/>
          <w:u w:val="single"/>
        </w:rPr>
        <w:t>NORESTE:</w:t>
      </w:r>
      <w:r w:rsidRPr="006D6A84">
        <w:rPr>
          <w:rFonts w:ascii="Century Gothic" w:hAnsi="Century Gothic"/>
          <w:b/>
          <w:spacing w:val="20"/>
          <w:sz w:val="22"/>
          <w:szCs w:val="22"/>
        </w:rPr>
        <w:t xml:space="preserve"> </w:t>
      </w:r>
      <w:r w:rsidRPr="006D6A84">
        <w:rPr>
          <w:rFonts w:ascii="Century Gothic" w:hAnsi="Century Gothic"/>
          <w:spacing w:val="20"/>
          <w:sz w:val="22"/>
          <w:szCs w:val="22"/>
        </w:rPr>
        <w:t xml:space="preserve">Rectas: 1-2 al rumbo S. 34º 40´ E. de 109,98 m, 2-3 al rumbo S. 35º 22´ E. de 116,48 m, arco de curva 3-4 de 135,86 m. de desarrollo, todas lindando con Vías del Ferrocarril Nacional General Urquiza.- </w:t>
      </w:r>
      <w:r w:rsidRPr="006D6A84">
        <w:rPr>
          <w:rFonts w:ascii="Century Gothic" w:hAnsi="Century Gothic"/>
          <w:b/>
          <w:spacing w:val="20"/>
          <w:sz w:val="22"/>
          <w:szCs w:val="22"/>
          <w:u w:val="single"/>
        </w:rPr>
        <w:t>ESTE:</w:t>
      </w:r>
      <w:r w:rsidRPr="006D6A84">
        <w:rPr>
          <w:rFonts w:ascii="Century Gothic" w:hAnsi="Century Gothic"/>
          <w:spacing w:val="20"/>
          <w:sz w:val="22"/>
          <w:szCs w:val="22"/>
        </w:rPr>
        <w:t xml:space="preserve"> Rectas: 4-5 al rumbo S. 10º 08´O. de 16,00 m, lindando con Edelmira Victoria Vega, 5-6 al rumbo N. 51º 04´O. de 19,53 m, 6-7 al rumbo S. 69º 32´O. de 5,50 m, 7-8 al rumbo S. 10º 08´ O. de 118,28 m, 8-9 al rumbo S. 34º 34´E. de 6,00 m, 9-10 al rumbo S. 79º 16´ E. de 17,63 m, todas lindando con Instituto Autárquico de Planeamiento y Vivienda (Mz.5), 10-11 al rumbo S.10º 08´O. de 12,71 m, lindando con Edelmira Victoria Vega.- </w:t>
      </w:r>
      <w:r w:rsidRPr="006D6A84">
        <w:rPr>
          <w:rFonts w:ascii="Century Gothic" w:hAnsi="Century Gothic"/>
          <w:b/>
          <w:spacing w:val="20"/>
          <w:sz w:val="22"/>
          <w:szCs w:val="22"/>
          <w:u w:val="single"/>
        </w:rPr>
        <w:t>SUR:</w:t>
      </w:r>
      <w:r w:rsidRPr="006D6A84">
        <w:rPr>
          <w:rFonts w:ascii="Century Gothic" w:hAnsi="Century Gothic"/>
          <w:spacing w:val="20"/>
          <w:sz w:val="22"/>
          <w:szCs w:val="22"/>
          <w:u w:val="single"/>
        </w:rPr>
        <w:t xml:space="preserve"> </w:t>
      </w:r>
      <w:r w:rsidRPr="006D6A84">
        <w:rPr>
          <w:rFonts w:ascii="Century Gothic" w:hAnsi="Century Gothic"/>
          <w:spacing w:val="20"/>
          <w:sz w:val="22"/>
          <w:szCs w:val="22"/>
        </w:rPr>
        <w:t xml:space="preserve">Recta 11-12 al rumbo N. 80º 12´O. de 64,63 m, lindando con Avenida Jorge Newery.-  </w:t>
      </w:r>
      <w:r w:rsidRPr="006D6A84">
        <w:rPr>
          <w:rFonts w:ascii="Century Gothic" w:hAnsi="Century Gothic"/>
          <w:b/>
          <w:spacing w:val="20"/>
          <w:sz w:val="22"/>
          <w:szCs w:val="22"/>
          <w:u w:val="single"/>
        </w:rPr>
        <w:t>SUROESTE:</w:t>
      </w:r>
      <w:r w:rsidRPr="006D6A84">
        <w:rPr>
          <w:rFonts w:ascii="Century Gothic" w:hAnsi="Century Gothic"/>
          <w:spacing w:val="20"/>
          <w:sz w:val="22"/>
          <w:szCs w:val="22"/>
        </w:rPr>
        <w:t xml:space="preserve"> Rectas: arco de curva 12-13 de 161,34 m. de desarrollo, 13-14 al rumbo N. 30º 01´ O. de 260,52 m, ambas lindando con Vías del Ferrocarril Nacional General Urquiza.-</w:t>
      </w:r>
      <w:r w:rsidRPr="006D6A84">
        <w:rPr>
          <w:rFonts w:ascii="Century Gothic" w:hAnsi="Century Gothic"/>
          <w:b/>
          <w:spacing w:val="20"/>
          <w:sz w:val="22"/>
          <w:szCs w:val="22"/>
        </w:rPr>
        <w:t xml:space="preserve"> </w:t>
      </w:r>
      <w:r w:rsidRPr="006D6A84">
        <w:rPr>
          <w:rFonts w:ascii="Century Gothic" w:hAnsi="Century Gothic"/>
          <w:b/>
          <w:spacing w:val="20"/>
          <w:sz w:val="22"/>
          <w:szCs w:val="22"/>
          <w:u w:val="single"/>
        </w:rPr>
        <w:t>NOROESTE:</w:t>
      </w:r>
      <w:r w:rsidRPr="006D6A84">
        <w:rPr>
          <w:rFonts w:ascii="Century Gothic" w:hAnsi="Century Gothic"/>
          <w:b/>
          <w:spacing w:val="20"/>
          <w:sz w:val="22"/>
          <w:szCs w:val="22"/>
        </w:rPr>
        <w:t xml:space="preserve"> </w:t>
      </w:r>
      <w:r w:rsidRPr="006D6A84">
        <w:rPr>
          <w:rFonts w:ascii="Century Gothic" w:hAnsi="Century Gothic"/>
          <w:spacing w:val="20"/>
          <w:sz w:val="22"/>
          <w:szCs w:val="22"/>
        </w:rPr>
        <w:t>Rectas: 14-15 al rumbo N. 56º 19´ E. de 14,89 m, lindando con I.A.P.V. y Otros, 15-16 al rumbo S. 30º 02´ E. de 46,28 m, 16-17 al rumbo N. 80º 35´ E. de 4,00 m, 17-18 al rumbo N. 11º 13´ E. de 67,52 m, todas lindando con Instituto Autárquico de Planeamiento y Vivienda (Mz. 27), 18-</w:t>
      </w:r>
    </w:p>
    <w:p w:rsidR="00D90528" w:rsidRDefault="00D90528" w:rsidP="006D6A84">
      <w:pPr>
        <w:spacing w:line="288" w:lineRule="auto"/>
        <w:jc w:val="both"/>
        <w:rPr>
          <w:rFonts w:ascii="Century Gothic" w:hAnsi="Century Gothic"/>
          <w:spacing w:val="20"/>
          <w:sz w:val="22"/>
          <w:szCs w:val="22"/>
        </w:rPr>
      </w:pPr>
    </w:p>
    <w:p w:rsidR="00D90528" w:rsidRDefault="00D90528" w:rsidP="006D6A84">
      <w:pPr>
        <w:spacing w:line="288" w:lineRule="auto"/>
        <w:jc w:val="both"/>
        <w:rPr>
          <w:rFonts w:ascii="Century Gothic" w:hAnsi="Century Gothic"/>
          <w:spacing w:val="20"/>
          <w:sz w:val="22"/>
          <w:szCs w:val="22"/>
        </w:rPr>
      </w:pPr>
    </w:p>
    <w:p w:rsidR="005A17A3" w:rsidRDefault="005A17A3" w:rsidP="006D6A84">
      <w:pPr>
        <w:spacing w:line="288" w:lineRule="auto"/>
        <w:jc w:val="both"/>
        <w:rPr>
          <w:rFonts w:ascii="Century Gothic" w:hAnsi="Century Gothic"/>
          <w:spacing w:val="20"/>
          <w:sz w:val="22"/>
          <w:szCs w:val="22"/>
        </w:rPr>
      </w:pPr>
      <w:r w:rsidRPr="006D6A84">
        <w:rPr>
          <w:rFonts w:ascii="Century Gothic" w:hAnsi="Century Gothic"/>
          <w:spacing w:val="20"/>
          <w:sz w:val="22"/>
          <w:szCs w:val="22"/>
        </w:rPr>
        <w:t>1 al rumbo N. 56º 19´ E. de 22,61 m, lindando con I.A.P.V. y Otros.- Loteo aprobado por Ordenanza Municipal Nº 9283/14.-</w:t>
      </w:r>
    </w:p>
    <w:p w:rsidR="00D90528" w:rsidRPr="006D6A84" w:rsidRDefault="00D90528" w:rsidP="006D6A84">
      <w:pPr>
        <w:spacing w:line="288" w:lineRule="auto"/>
        <w:jc w:val="both"/>
        <w:rPr>
          <w:rFonts w:ascii="Century Gothic" w:hAnsi="Century Gothic"/>
          <w:spacing w:val="20"/>
          <w:sz w:val="22"/>
          <w:szCs w:val="22"/>
        </w:rPr>
      </w:pPr>
    </w:p>
    <w:p w:rsidR="005A17A3" w:rsidRPr="006D6A84" w:rsidRDefault="005A17A3" w:rsidP="006D6A84">
      <w:pPr>
        <w:spacing w:line="288" w:lineRule="auto"/>
        <w:jc w:val="both"/>
        <w:rPr>
          <w:rFonts w:ascii="Century Gothic" w:hAnsi="Century Gothic"/>
          <w:spacing w:val="20"/>
          <w:sz w:val="22"/>
          <w:szCs w:val="22"/>
        </w:rPr>
      </w:pPr>
    </w:p>
    <w:p w:rsidR="005A17A3" w:rsidRDefault="005A17A3" w:rsidP="006D6A84">
      <w:pPr>
        <w:spacing w:line="288" w:lineRule="auto"/>
        <w:jc w:val="both"/>
        <w:rPr>
          <w:rFonts w:ascii="Century Gothic" w:hAnsi="Century Gothic"/>
          <w:spacing w:val="20"/>
          <w:sz w:val="22"/>
          <w:szCs w:val="22"/>
        </w:rPr>
      </w:pPr>
      <w:r w:rsidRPr="006D6A84">
        <w:rPr>
          <w:rFonts w:ascii="Century Gothic" w:hAnsi="Century Gothic"/>
          <w:b/>
          <w:spacing w:val="20"/>
          <w:sz w:val="22"/>
          <w:szCs w:val="22"/>
        </w:rPr>
        <w:t xml:space="preserve">B) Plano de Mensura Nº 206.413  - Lote CALLE - </w:t>
      </w:r>
      <w:r w:rsidRPr="006D6A84">
        <w:rPr>
          <w:rFonts w:ascii="Century Gothic" w:hAnsi="Century Gothic"/>
          <w:spacing w:val="20"/>
          <w:sz w:val="22"/>
          <w:szCs w:val="22"/>
        </w:rPr>
        <w:t xml:space="preserve">Partida Provincial: 261446 - Localización: PROVINCIA DE ENTRE RIOS – Departamento PARANA – Municipio de Paraná – Área Complementaria – Distrito C.E.U. – Sección 12º - Grupo 120 – Manzana 13 - Domicilio Parcelario: Lote Calle -  Superficie: 6.122,70 m2 (Seis mil ciento veintidós metros cuadrados con setenta decímetros cuadrados).-  </w:t>
      </w:r>
      <w:r w:rsidRPr="006D6A84">
        <w:rPr>
          <w:rFonts w:ascii="Century Gothic" w:hAnsi="Century Gothic"/>
          <w:b/>
          <w:spacing w:val="20"/>
          <w:sz w:val="22"/>
          <w:szCs w:val="22"/>
        </w:rPr>
        <w:t xml:space="preserve">Matrícula: 192.211  - Limites y Linderos: </w:t>
      </w:r>
      <w:r w:rsidRPr="006D6A84">
        <w:rPr>
          <w:rFonts w:ascii="Century Gothic" w:hAnsi="Century Gothic"/>
          <w:b/>
          <w:spacing w:val="20"/>
          <w:sz w:val="22"/>
          <w:szCs w:val="22"/>
          <w:u w:val="single"/>
        </w:rPr>
        <w:t>NORTE:</w:t>
      </w:r>
      <w:r w:rsidRPr="006D6A84">
        <w:rPr>
          <w:rFonts w:ascii="Century Gothic" w:hAnsi="Century Gothic"/>
          <w:b/>
          <w:spacing w:val="20"/>
          <w:sz w:val="22"/>
          <w:szCs w:val="22"/>
        </w:rPr>
        <w:t xml:space="preserve"> </w:t>
      </w:r>
      <w:r w:rsidRPr="006D6A84">
        <w:rPr>
          <w:rFonts w:ascii="Century Gothic" w:hAnsi="Century Gothic"/>
          <w:spacing w:val="20"/>
          <w:sz w:val="22"/>
          <w:szCs w:val="22"/>
        </w:rPr>
        <w:t xml:space="preserve">Recta: 109-110 al rumbo S. 79º 42´ E. de 155,86 m, lindando con Ana María Silva.-  </w:t>
      </w:r>
      <w:r w:rsidRPr="006D6A84">
        <w:rPr>
          <w:rFonts w:ascii="Century Gothic" w:hAnsi="Century Gothic"/>
          <w:b/>
          <w:spacing w:val="20"/>
          <w:sz w:val="22"/>
          <w:szCs w:val="22"/>
          <w:u w:val="single"/>
        </w:rPr>
        <w:t>ESTE:</w:t>
      </w:r>
      <w:r w:rsidRPr="006D6A84">
        <w:rPr>
          <w:rFonts w:ascii="Century Gothic" w:hAnsi="Century Gothic"/>
          <w:spacing w:val="20"/>
          <w:sz w:val="22"/>
          <w:szCs w:val="22"/>
        </w:rPr>
        <w:t xml:space="preserve"> Rectas: 110-16 al rumbo S. 10º 18´ O. de 19,24 metros, lindando con Calle Juan Garrigo, 16-15 al rumbo N. 34º 42´ O. de 6,00 metros, 15-1 al rumbo N. 79º 42´ O. de 134,34 metros, 1-43 al rumbo S. 60º 34´ O. de 6,55 metros, 43-41 al rumbo S. 19º 24´ O. de 23,09 metros,  41-38 al rumbo S. 22º 08´O. de 23,23 metros, 38-37 al rumbo S. 28º 46´ E. de 5,50 metros, 37-23 al rumbo S. 79º 42´ E. de 144,32 metros, y 23-22 al rumbo N. 55º 18´ E. de 6,00 metros,  todas lindando con Manzana 13 del Instituto Autárquico de Planeamiento y Vivienda, 22-85 al rumbo S. 10º 18´ O. de 23,48 metros lindando con Calle Juan Garrigo, 85-84 al rumbo N. 34º 42´ O. de 6,00 metros, 84-67 al rumbo N. 79º 42´ O.  de 149,01 metros, 67-105 al rumbo S. 62º 33´ O. de 5,50 metros, 105-103 al rumbo S. 24º 47´ O. de 19,77 metros, todas lindando con Manzana 18 de Instituto Autárquico de Planeamiento y Vivienda.- </w:t>
      </w:r>
      <w:r w:rsidRPr="006D6A84">
        <w:rPr>
          <w:rFonts w:ascii="Century Gothic" w:hAnsi="Century Gothic"/>
          <w:b/>
          <w:spacing w:val="20"/>
          <w:sz w:val="22"/>
          <w:szCs w:val="22"/>
          <w:u w:val="single"/>
        </w:rPr>
        <w:t>SUR:</w:t>
      </w:r>
      <w:r w:rsidRPr="006D6A84">
        <w:rPr>
          <w:rFonts w:ascii="Century Gothic" w:hAnsi="Century Gothic"/>
          <w:spacing w:val="20"/>
          <w:sz w:val="22"/>
          <w:szCs w:val="22"/>
        </w:rPr>
        <w:t xml:space="preserve"> Recta: 103-107 al rumbo N. 79º 42´ O. de 15,51 metros, lindando con Rubén Gabriel Armandola. -  </w:t>
      </w:r>
      <w:r w:rsidRPr="006D6A84">
        <w:rPr>
          <w:rFonts w:ascii="Century Gothic" w:hAnsi="Century Gothic"/>
          <w:b/>
          <w:spacing w:val="20"/>
          <w:sz w:val="22"/>
          <w:szCs w:val="22"/>
          <w:u w:val="single"/>
        </w:rPr>
        <w:t>OESTE:</w:t>
      </w:r>
      <w:r w:rsidRPr="006D6A84">
        <w:rPr>
          <w:rFonts w:ascii="Century Gothic" w:hAnsi="Century Gothic"/>
          <w:spacing w:val="20"/>
          <w:sz w:val="22"/>
          <w:szCs w:val="22"/>
        </w:rPr>
        <w:t xml:space="preserve"> Rectas: 107-108 al rumbo N. 24º 50´ E. de 46,94 metros, arco de curva 108-109 de 61,96 m. de desarrollo, todas lindando con Vías del Ferrocarril General Urquiza - Loteo aprobado por Ordenanza Municipal Nº 9283/14.- </w:t>
      </w:r>
    </w:p>
    <w:p w:rsidR="00D90528" w:rsidRPr="006D6A84" w:rsidRDefault="00D90528" w:rsidP="006D6A84">
      <w:pPr>
        <w:spacing w:line="288" w:lineRule="auto"/>
        <w:jc w:val="both"/>
        <w:rPr>
          <w:rFonts w:ascii="Century Gothic" w:hAnsi="Century Gothic"/>
          <w:b/>
          <w:spacing w:val="20"/>
          <w:sz w:val="22"/>
          <w:szCs w:val="22"/>
        </w:rPr>
      </w:pPr>
    </w:p>
    <w:p w:rsidR="00032E59" w:rsidRPr="006D6A84" w:rsidRDefault="00032E59" w:rsidP="006D6A84">
      <w:pPr>
        <w:spacing w:line="288" w:lineRule="auto"/>
        <w:ind w:right="-136"/>
        <w:jc w:val="both"/>
        <w:rPr>
          <w:rFonts w:ascii="Century Gothic" w:hAnsi="Century Gothic" w:cs="Arial"/>
          <w:b/>
          <w:spacing w:val="20"/>
          <w:position w:val="2"/>
          <w:sz w:val="22"/>
          <w:szCs w:val="22"/>
        </w:rPr>
      </w:pPr>
    </w:p>
    <w:p w:rsidR="00032E59" w:rsidRPr="006D6A84" w:rsidRDefault="005A17A3" w:rsidP="006D6A84">
      <w:pPr>
        <w:spacing w:line="288" w:lineRule="auto"/>
        <w:ind w:right="-51"/>
        <w:jc w:val="both"/>
        <w:rPr>
          <w:rFonts w:ascii="Century Gothic" w:hAnsi="Century Gothic" w:cs="Arial"/>
          <w:spacing w:val="20"/>
          <w:position w:val="2"/>
          <w:sz w:val="22"/>
          <w:szCs w:val="22"/>
        </w:rPr>
      </w:pPr>
      <w:r w:rsidRPr="006D6A84">
        <w:rPr>
          <w:rFonts w:ascii="Century Gothic" w:hAnsi="Century Gothic" w:cs="Arial"/>
          <w:b/>
          <w:spacing w:val="20"/>
          <w:position w:val="2"/>
          <w:sz w:val="22"/>
          <w:szCs w:val="22"/>
          <w:u w:val="single"/>
        </w:rPr>
        <w:t>ARTÍCULO 2º.-</w:t>
      </w:r>
      <w:r w:rsidRPr="006D6A84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 La donación autorizada, deberá instrumentarse con el cargo de  que el Municipio de Paraná destine los  Inmuebles donados a “Calles Públicas”</w:t>
      </w:r>
      <w:r w:rsidR="00D90528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 estableciendo la reversión de los mismo para el caso que el Municipio no cumpla con el cargo impuesto</w:t>
      </w:r>
      <w:r w:rsidRPr="006D6A84">
        <w:rPr>
          <w:rFonts w:ascii="Century Gothic" w:hAnsi="Century Gothic" w:cs="Arial"/>
          <w:spacing w:val="20"/>
          <w:position w:val="2"/>
          <w:sz w:val="22"/>
          <w:szCs w:val="22"/>
        </w:rPr>
        <w:t xml:space="preserve">.- </w:t>
      </w:r>
    </w:p>
    <w:p w:rsidR="00032E59" w:rsidRPr="006D6A84" w:rsidRDefault="00032E59" w:rsidP="006D6A84">
      <w:pPr>
        <w:spacing w:line="288" w:lineRule="auto"/>
        <w:ind w:right="-51"/>
        <w:jc w:val="both"/>
        <w:rPr>
          <w:rFonts w:ascii="Century Gothic" w:hAnsi="Century Gothic" w:cs="Arial"/>
          <w:b/>
          <w:spacing w:val="20"/>
          <w:sz w:val="22"/>
          <w:szCs w:val="22"/>
          <w:u w:val="single"/>
        </w:rPr>
      </w:pPr>
    </w:p>
    <w:p w:rsidR="004A10E2" w:rsidRPr="006D6A84" w:rsidRDefault="004A10E2" w:rsidP="006D6A84">
      <w:pPr>
        <w:spacing w:line="288" w:lineRule="auto"/>
        <w:ind w:right="-51"/>
        <w:jc w:val="both"/>
        <w:rPr>
          <w:rFonts w:ascii="Century Gothic" w:hAnsi="Century Gothic"/>
          <w:spacing w:val="20"/>
          <w:sz w:val="22"/>
          <w:szCs w:val="22"/>
        </w:rPr>
      </w:pPr>
      <w:r w:rsidRPr="006D6A84">
        <w:rPr>
          <w:rFonts w:ascii="Century Gothic" w:hAnsi="Century Gothic" w:cs="Arial"/>
          <w:b/>
          <w:spacing w:val="20"/>
          <w:sz w:val="22"/>
          <w:szCs w:val="22"/>
          <w:u w:val="single"/>
        </w:rPr>
        <w:lastRenderedPageBreak/>
        <w:t>ARTÍ</w:t>
      </w:r>
      <w:r w:rsidR="000235BE" w:rsidRPr="006D6A84">
        <w:rPr>
          <w:rFonts w:ascii="Century Gothic" w:hAnsi="Century Gothic" w:cs="Arial"/>
          <w:b/>
          <w:spacing w:val="20"/>
          <w:sz w:val="22"/>
          <w:szCs w:val="22"/>
          <w:u w:val="single"/>
        </w:rPr>
        <w:t xml:space="preserve">CULO </w:t>
      </w:r>
      <w:r w:rsidR="00032E59" w:rsidRPr="006D6A84">
        <w:rPr>
          <w:rFonts w:ascii="Century Gothic" w:hAnsi="Century Gothic" w:cs="Arial"/>
          <w:b/>
          <w:spacing w:val="20"/>
          <w:sz w:val="22"/>
          <w:szCs w:val="22"/>
          <w:u w:val="single"/>
        </w:rPr>
        <w:t>3</w:t>
      </w:r>
      <w:r w:rsidRPr="006D6A84">
        <w:rPr>
          <w:rFonts w:ascii="Century Gothic" w:hAnsi="Century Gothic" w:cs="Arial"/>
          <w:b/>
          <w:spacing w:val="20"/>
          <w:sz w:val="22"/>
          <w:szCs w:val="22"/>
          <w:u w:val="single"/>
        </w:rPr>
        <w:t>º.-</w:t>
      </w:r>
      <w:r w:rsidRPr="006D6A84"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Pr="006D6A84">
        <w:rPr>
          <w:rFonts w:ascii="Century Gothic" w:hAnsi="Century Gothic"/>
          <w:spacing w:val="20"/>
          <w:sz w:val="22"/>
          <w:szCs w:val="22"/>
        </w:rPr>
        <w:t xml:space="preserve">Autorizase a la Escribanía  Mayor de Gobierno a realizar los trámites conducentes a la efectiva </w:t>
      </w:r>
      <w:r w:rsidR="00F953D8" w:rsidRPr="006D6A84">
        <w:rPr>
          <w:rFonts w:ascii="Century Gothic" w:hAnsi="Century Gothic"/>
          <w:spacing w:val="20"/>
          <w:sz w:val="22"/>
          <w:szCs w:val="22"/>
        </w:rPr>
        <w:t>transferencia del dominio del  inmueble descripto</w:t>
      </w:r>
      <w:r w:rsidRPr="006D6A84">
        <w:rPr>
          <w:rFonts w:ascii="Century Gothic" w:hAnsi="Century Gothic"/>
          <w:spacing w:val="20"/>
          <w:sz w:val="22"/>
          <w:szCs w:val="22"/>
        </w:rPr>
        <w:t xml:space="preserve"> en el Artículo 1°</w:t>
      </w:r>
      <w:r w:rsidR="00D90528">
        <w:rPr>
          <w:rFonts w:ascii="Century Gothic" w:hAnsi="Century Gothic"/>
          <w:spacing w:val="20"/>
          <w:sz w:val="22"/>
          <w:szCs w:val="22"/>
        </w:rPr>
        <w:t>, a favor del Municipio de Paraná</w:t>
      </w:r>
      <w:r w:rsidRPr="006D6A84">
        <w:rPr>
          <w:rFonts w:ascii="Century Gothic" w:hAnsi="Century Gothic"/>
          <w:spacing w:val="20"/>
          <w:sz w:val="22"/>
          <w:szCs w:val="22"/>
        </w:rPr>
        <w:t>.-</w:t>
      </w:r>
    </w:p>
    <w:p w:rsidR="00032E59" w:rsidRPr="006D6A84" w:rsidRDefault="00032E59" w:rsidP="006D6A84">
      <w:pPr>
        <w:shd w:val="clear" w:color="auto" w:fill="FFFFFF"/>
        <w:spacing w:line="288" w:lineRule="auto"/>
        <w:jc w:val="both"/>
        <w:rPr>
          <w:rFonts w:ascii="Century Gothic" w:hAnsi="Century Gothic"/>
          <w:bCs/>
          <w:color w:val="000000"/>
          <w:spacing w:val="20"/>
          <w:sz w:val="22"/>
          <w:szCs w:val="22"/>
        </w:rPr>
      </w:pPr>
    </w:p>
    <w:p w:rsidR="00F35F0E" w:rsidRPr="006D6A84" w:rsidRDefault="009331B6" w:rsidP="006D6A84">
      <w:pPr>
        <w:spacing w:line="288" w:lineRule="auto"/>
        <w:ind w:right="-51"/>
        <w:jc w:val="both"/>
        <w:rPr>
          <w:rFonts w:ascii="Century Gothic" w:hAnsi="Century Gothic"/>
          <w:spacing w:val="20"/>
          <w:sz w:val="20"/>
          <w:szCs w:val="20"/>
        </w:rPr>
      </w:pPr>
      <w:r w:rsidRPr="006D6A84">
        <w:rPr>
          <w:rFonts w:ascii="Century Gothic" w:hAnsi="Century Gothic" w:cs="Arial"/>
          <w:b/>
          <w:spacing w:val="20"/>
          <w:sz w:val="22"/>
          <w:szCs w:val="22"/>
          <w:u w:val="single"/>
        </w:rPr>
        <w:t>ARTÍ</w:t>
      </w:r>
      <w:r w:rsidR="006435B6" w:rsidRPr="006D6A84">
        <w:rPr>
          <w:rFonts w:ascii="Century Gothic" w:hAnsi="Century Gothic" w:cs="Arial"/>
          <w:b/>
          <w:spacing w:val="20"/>
          <w:sz w:val="22"/>
          <w:szCs w:val="22"/>
          <w:u w:val="single"/>
        </w:rPr>
        <w:t xml:space="preserve">CULO </w:t>
      </w:r>
      <w:r w:rsidR="00032E59" w:rsidRPr="006D6A84">
        <w:rPr>
          <w:rFonts w:ascii="Century Gothic" w:hAnsi="Century Gothic" w:cs="Arial"/>
          <w:b/>
          <w:spacing w:val="20"/>
          <w:sz w:val="22"/>
          <w:szCs w:val="22"/>
          <w:u w:val="single"/>
        </w:rPr>
        <w:t>4</w:t>
      </w:r>
      <w:r w:rsidR="006435B6" w:rsidRPr="006D6A84">
        <w:rPr>
          <w:rFonts w:ascii="Century Gothic" w:hAnsi="Century Gothic" w:cs="Arial"/>
          <w:b/>
          <w:spacing w:val="20"/>
          <w:sz w:val="22"/>
          <w:szCs w:val="22"/>
          <w:u w:val="single"/>
        </w:rPr>
        <w:t>º.-</w:t>
      </w:r>
      <w:r w:rsidR="006435B6" w:rsidRPr="006D6A84"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="000B664B" w:rsidRPr="006D6A84">
        <w:rPr>
          <w:rFonts w:ascii="Century Gothic" w:hAnsi="Century Gothic" w:cs="Arial"/>
          <w:spacing w:val="20"/>
          <w:sz w:val="22"/>
          <w:szCs w:val="22"/>
        </w:rPr>
        <w:t xml:space="preserve"> </w:t>
      </w:r>
      <w:r w:rsidR="006435B6" w:rsidRPr="006D6A84">
        <w:rPr>
          <w:rFonts w:ascii="Century Gothic" w:hAnsi="Century Gothic" w:cs="Arial"/>
          <w:spacing w:val="20"/>
          <w:sz w:val="22"/>
          <w:szCs w:val="22"/>
        </w:rPr>
        <w:t xml:space="preserve">Comuníquese, </w:t>
      </w:r>
      <w:r w:rsidR="00F35F0E" w:rsidRPr="006D6A84">
        <w:rPr>
          <w:rFonts w:ascii="Century Gothic" w:hAnsi="Century Gothic"/>
          <w:spacing w:val="20"/>
          <w:sz w:val="22"/>
          <w:szCs w:val="22"/>
        </w:rPr>
        <w:t>etcétera</w:t>
      </w:r>
      <w:r w:rsidR="00F35F0E" w:rsidRPr="006D6A84">
        <w:rPr>
          <w:rFonts w:ascii="Century Gothic" w:hAnsi="Century Gothic"/>
          <w:spacing w:val="20"/>
          <w:sz w:val="20"/>
          <w:szCs w:val="20"/>
        </w:rPr>
        <w:t>.</w:t>
      </w:r>
      <w:r w:rsidR="001A0B5A" w:rsidRPr="006D6A84">
        <w:rPr>
          <w:rFonts w:ascii="Century Gothic" w:hAnsi="Century Gothic"/>
          <w:spacing w:val="20"/>
          <w:sz w:val="20"/>
          <w:szCs w:val="20"/>
        </w:rPr>
        <w:t>-</w:t>
      </w:r>
    </w:p>
    <w:p w:rsidR="00A55EF6" w:rsidRPr="006D6A84" w:rsidRDefault="00A55EF6" w:rsidP="006D6A84">
      <w:pPr>
        <w:spacing w:line="288" w:lineRule="auto"/>
        <w:ind w:right="-51"/>
        <w:jc w:val="both"/>
        <w:rPr>
          <w:rFonts w:ascii="Century Gothic" w:hAnsi="Century Gothic" w:cs="Arial"/>
          <w:b/>
          <w:spacing w:val="20"/>
          <w:sz w:val="20"/>
          <w:szCs w:val="20"/>
        </w:rPr>
      </w:pPr>
    </w:p>
    <w:sectPr w:rsidR="00A55EF6" w:rsidRPr="006D6A84" w:rsidSect="008260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 w:code="9"/>
      <w:pgMar w:top="3402" w:right="680" w:bottom="1418" w:left="1701" w:header="85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975" w:rsidRDefault="000E4975">
      <w:r>
        <w:separator/>
      </w:r>
    </w:p>
  </w:endnote>
  <w:endnote w:type="continuationSeparator" w:id="1">
    <w:p w:rsidR="000E4975" w:rsidRDefault="000E4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0EC" w:rsidRDefault="008260E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0EC" w:rsidRDefault="008260E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0EC" w:rsidRDefault="008260E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975" w:rsidRDefault="000E4975">
      <w:r>
        <w:separator/>
      </w:r>
    </w:p>
  </w:footnote>
  <w:footnote w:type="continuationSeparator" w:id="1">
    <w:p w:rsidR="000E4975" w:rsidRDefault="000E4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0EC" w:rsidRDefault="008260E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0EC" w:rsidRPr="008260EC" w:rsidRDefault="008260EC" w:rsidP="008260EC">
    <w:pPr>
      <w:pStyle w:val="Encabezado"/>
      <w:tabs>
        <w:tab w:val="clear" w:pos="4419"/>
        <w:tab w:val="clear" w:pos="8838"/>
        <w:tab w:val="left" w:pos="3261"/>
      </w:tabs>
      <w:jc w:val="right"/>
      <w:rPr>
        <w:sz w:val="18"/>
        <w:szCs w:val="18"/>
      </w:rPr>
    </w:pPr>
    <w:r>
      <w:rPr>
        <w:rFonts w:ascii="Arial" w:hAnsi="Arial" w:cs="Arial"/>
        <w:i/>
        <w:sz w:val="16"/>
        <w:szCs w:val="16"/>
      </w:rPr>
      <w:tab/>
    </w:r>
    <w:r w:rsidRPr="008260EC">
      <w:rPr>
        <w:rFonts w:ascii="Arial" w:hAnsi="Arial" w:cs="Arial"/>
        <w:i/>
        <w:sz w:val="18"/>
        <w:szCs w:val="18"/>
      </w:rPr>
      <w:t>“2020 – Año del Bicentenario de la Fundación de la República de Entre Ríos”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0EC" w:rsidRDefault="008260E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1FF5"/>
    <w:multiLevelType w:val="hybridMultilevel"/>
    <w:tmpl w:val="260AACEA"/>
    <w:lvl w:ilvl="0" w:tplc="29C4A986">
      <w:start w:val="1"/>
      <w:numFmt w:val="upperLetter"/>
      <w:lvlText w:val="%1-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443DCB"/>
    <w:multiLevelType w:val="hybridMultilevel"/>
    <w:tmpl w:val="A60E0F8A"/>
    <w:lvl w:ilvl="0" w:tplc="7A6A9370">
      <w:start w:val="1"/>
      <w:numFmt w:val="upperLetter"/>
      <w:lvlText w:val="%1-"/>
      <w:lvlJc w:val="left"/>
      <w:pPr>
        <w:ind w:left="888" w:hanging="528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87B2F"/>
    <w:multiLevelType w:val="hybridMultilevel"/>
    <w:tmpl w:val="8652585C"/>
    <w:lvl w:ilvl="0" w:tplc="6A583018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hyphenationZone w:val="425"/>
  <w:drawingGridHorizontalSpacing w:val="57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1506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6435B6"/>
    <w:rsid w:val="000058D8"/>
    <w:rsid w:val="0001435C"/>
    <w:rsid w:val="000235BE"/>
    <w:rsid w:val="000262F0"/>
    <w:rsid w:val="00032E59"/>
    <w:rsid w:val="0005455E"/>
    <w:rsid w:val="00080508"/>
    <w:rsid w:val="00086CD5"/>
    <w:rsid w:val="000946CD"/>
    <w:rsid w:val="000B664B"/>
    <w:rsid w:val="000C3352"/>
    <w:rsid w:val="000E2B62"/>
    <w:rsid w:val="000E4975"/>
    <w:rsid w:val="000F14AA"/>
    <w:rsid w:val="000F7622"/>
    <w:rsid w:val="00100D80"/>
    <w:rsid w:val="001138FC"/>
    <w:rsid w:val="00116B14"/>
    <w:rsid w:val="00131FF9"/>
    <w:rsid w:val="00143DBB"/>
    <w:rsid w:val="00145D1C"/>
    <w:rsid w:val="00145DD1"/>
    <w:rsid w:val="00165E1F"/>
    <w:rsid w:val="00197702"/>
    <w:rsid w:val="001A0B5A"/>
    <w:rsid w:val="001B3D66"/>
    <w:rsid w:val="001D0732"/>
    <w:rsid w:val="001D1C5A"/>
    <w:rsid w:val="001E0689"/>
    <w:rsid w:val="002009E9"/>
    <w:rsid w:val="0020411F"/>
    <w:rsid w:val="00231F02"/>
    <w:rsid w:val="00250866"/>
    <w:rsid w:val="00256049"/>
    <w:rsid w:val="00260862"/>
    <w:rsid w:val="002707F0"/>
    <w:rsid w:val="0027561F"/>
    <w:rsid w:val="002C218D"/>
    <w:rsid w:val="002C226B"/>
    <w:rsid w:val="002D72D8"/>
    <w:rsid w:val="002E6D4F"/>
    <w:rsid w:val="0030612D"/>
    <w:rsid w:val="003072EC"/>
    <w:rsid w:val="0031034D"/>
    <w:rsid w:val="0031293B"/>
    <w:rsid w:val="00314045"/>
    <w:rsid w:val="003361D2"/>
    <w:rsid w:val="00342872"/>
    <w:rsid w:val="003807F3"/>
    <w:rsid w:val="003909C9"/>
    <w:rsid w:val="00391D9B"/>
    <w:rsid w:val="003C2D29"/>
    <w:rsid w:val="003D5252"/>
    <w:rsid w:val="00400C50"/>
    <w:rsid w:val="00430E11"/>
    <w:rsid w:val="00437128"/>
    <w:rsid w:val="00456E1D"/>
    <w:rsid w:val="00464D35"/>
    <w:rsid w:val="00477342"/>
    <w:rsid w:val="004A10E2"/>
    <w:rsid w:val="004A2276"/>
    <w:rsid w:val="004B1F9B"/>
    <w:rsid w:val="004F289F"/>
    <w:rsid w:val="00542504"/>
    <w:rsid w:val="00556D8F"/>
    <w:rsid w:val="00566F12"/>
    <w:rsid w:val="0058295D"/>
    <w:rsid w:val="00591282"/>
    <w:rsid w:val="005A17A3"/>
    <w:rsid w:val="005E4E61"/>
    <w:rsid w:val="005E77A7"/>
    <w:rsid w:val="00600BFD"/>
    <w:rsid w:val="00605D9D"/>
    <w:rsid w:val="0062171B"/>
    <w:rsid w:val="00632B9F"/>
    <w:rsid w:val="006417AA"/>
    <w:rsid w:val="006435B6"/>
    <w:rsid w:val="00656E60"/>
    <w:rsid w:val="00670B1C"/>
    <w:rsid w:val="00673062"/>
    <w:rsid w:val="00685E19"/>
    <w:rsid w:val="006911C9"/>
    <w:rsid w:val="00694E28"/>
    <w:rsid w:val="006A2DF6"/>
    <w:rsid w:val="006B7583"/>
    <w:rsid w:val="006D2145"/>
    <w:rsid w:val="006D30C1"/>
    <w:rsid w:val="006D6A84"/>
    <w:rsid w:val="006D76B8"/>
    <w:rsid w:val="006F1D2C"/>
    <w:rsid w:val="00700939"/>
    <w:rsid w:val="00705E9B"/>
    <w:rsid w:val="007069E5"/>
    <w:rsid w:val="00711B5D"/>
    <w:rsid w:val="00742E90"/>
    <w:rsid w:val="007516C2"/>
    <w:rsid w:val="00760EBC"/>
    <w:rsid w:val="007713F4"/>
    <w:rsid w:val="00783CC1"/>
    <w:rsid w:val="007A20C3"/>
    <w:rsid w:val="007A33F8"/>
    <w:rsid w:val="007A4F83"/>
    <w:rsid w:val="007B686F"/>
    <w:rsid w:val="007C33C8"/>
    <w:rsid w:val="00802DAF"/>
    <w:rsid w:val="008053D7"/>
    <w:rsid w:val="00807EA8"/>
    <w:rsid w:val="008260EC"/>
    <w:rsid w:val="00837E21"/>
    <w:rsid w:val="0087557C"/>
    <w:rsid w:val="00885B8F"/>
    <w:rsid w:val="00887EE5"/>
    <w:rsid w:val="00894668"/>
    <w:rsid w:val="00895B9F"/>
    <w:rsid w:val="008C6415"/>
    <w:rsid w:val="008E311B"/>
    <w:rsid w:val="008F585E"/>
    <w:rsid w:val="008F7EDF"/>
    <w:rsid w:val="00900108"/>
    <w:rsid w:val="00904401"/>
    <w:rsid w:val="009331B6"/>
    <w:rsid w:val="00963906"/>
    <w:rsid w:val="009A4B4E"/>
    <w:rsid w:val="009B158F"/>
    <w:rsid w:val="009C64DF"/>
    <w:rsid w:val="009C7D3E"/>
    <w:rsid w:val="009D1355"/>
    <w:rsid w:val="00A2018B"/>
    <w:rsid w:val="00A31698"/>
    <w:rsid w:val="00A42F8A"/>
    <w:rsid w:val="00A544A3"/>
    <w:rsid w:val="00A55EF6"/>
    <w:rsid w:val="00A638B6"/>
    <w:rsid w:val="00A6608F"/>
    <w:rsid w:val="00A70472"/>
    <w:rsid w:val="00A74AA0"/>
    <w:rsid w:val="00A94DD4"/>
    <w:rsid w:val="00AB30BE"/>
    <w:rsid w:val="00AC6E86"/>
    <w:rsid w:val="00AC7B25"/>
    <w:rsid w:val="00AD56C7"/>
    <w:rsid w:val="00AE1AEB"/>
    <w:rsid w:val="00B22023"/>
    <w:rsid w:val="00B251EE"/>
    <w:rsid w:val="00B4301B"/>
    <w:rsid w:val="00B4562E"/>
    <w:rsid w:val="00B5293E"/>
    <w:rsid w:val="00B578B1"/>
    <w:rsid w:val="00B60256"/>
    <w:rsid w:val="00B665EB"/>
    <w:rsid w:val="00BA3E0C"/>
    <w:rsid w:val="00BB07B1"/>
    <w:rsid w:val="00BD2C4F"/>
    <w:rsid w:val="00BD34E7"/>
    <w:rsid w:val="00BD5670"/>
    <w:rsid w:val="00BD6A2C"/>
    <w:rsid w:val="00BE77DE"/>
    <w:rsid w:val="00BF1444"/>
    <w:rsid w:val="00C0107D"/>
    <w:rsid w:val="00C0229E"/>
    <w:rsid w:val="00C166BB"/>
    <w:rsid w:val="00C2012E"/>
    <w:rsid w:val="00C535A4"/>
    <w:rsid w:val="00C56F0F"/>
    <w:rsid w:val="00C573E4"/>
    <w:rsid w:val="00C71D9B"/>
    <w:rsid w:val="00C81C36"/>
    <w:rsid w:val="00C85BDA"/>
    <w:rsid w:val="00C9625A"/>
    <w:rsid w:val="00CA3FC9"/>
    <w:rsid w:val="00CB0845"/>
    <w:rsid w:val="00CF6E33"/>
    <w:rsid w:val="00CF779A"/>
    <w:rsid w:val="00D05EE2"/>
    <w:rsid w:val="00D07574"/>
    <w:rsid w:val="00D127B9"/>
    <w:rsid w:val="00D16B0C"/>
    <w:rsid w:val="00D4758F"/>
    <w:rsid w:val="00D70D72"/>
    <w:rsid w:val="00D719C3"/>
    <w:rsid w:val="00D75163"/>
    <w:rsid w:val="00D8149E"/>
    <w:rsid w:val="00D81B5A"/>
    <w:rsid w:val="00D90528"/>
    <w:rsid w:val="00DA1984"/>
    <w:rsid w:val="00DD297B"/>
    <w:rsid w:val="00DD51A9"/>
    <w:rsid w:val="00DD77C1"/>
    <w:rsid w:val="00E051A2"/>
    <w:rsid w:val="00E0569C"/>
    <w:rsid w:val="00E15C33"/>
    <w:rsid w:val="00E252E9"/>
    <w:rsid w:val="00E26EAE"/>
    <w:rsid w:val="00E33ACC"/>
    <w:rsid w:val="00E41A03"/>
    <w:rsid w:val="00E433C3"/>
    <w:rsid w:val="00E76FF4"/>
    <w:rsid w:val="00E821DB"/>
    <w:rsid w:val="00EA4F14"/>
    <w:rsid w:val="00EE4251"/>
    <w:rsid w:val="00EE52FC"/>
    <w:rsid w:val="00EF52FF"/>
    <w:rsid w:val="00F353F9"/>
    <w:rsid w:val="00F35F0E"/>
    <w:rsid w:val="00F37E6B"/>
    <w:rsid w:val="00F6647D"/>
    <w:rsid w:val="00F71C04"/>
    <w:rsid w:val="00F8138B"/>
    <w:rsid w:val="00F953D8"/>
    <w:rsid w:val="00F97B9F"/>
    <w:rsid w:val="00FA2894"/>
    <w:rsid w:val="00FB4CA4"/>
    <w:rsid w:val="00FD4EF3"/>
    <w:rsid w:val="00FF1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E1D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4758F"/>
  </w:style>
  <w:style w:type="character" w:customStyle="1" w:styleId="WW-Absatz-Standardschriftart">
    <w:name w:val="WW-Absatz-Standardschriftart"/>
    <w:rsid w:val="00D4758F"/>
  </w:style>
  <w:style w:type="character" w:customStyle="1" w:styleId="WW-Absatz-Standardschriftart1">
    <w:name w:val="WW-Absatz-Standardschriftart1"/>
    <w:rsid w:val="00D4758F"/>
  </w:style>
  <w:style w:type="character" w:styleId="Nmerodepgina">
    <w:name w:val="page number"/>
    <w:basedOn w:val="Fuentedeprrafopredeter"/>
    <w:rsid w:val="00D4758F"/>
  </w:style>
  <w:style w:type="paragraph" w:styleId="Encabezado">
    <w:name w:val="header"/>
    <w:basedOn w:val="Normal"/>
    <w:next w:val="Textoindependiente"/>
    <w:rsid w:val="00D4758F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D4758F"/>
    <w:pPr>
      <w:jc w:val="both"/>
    </w:pPr>
    <w:rPr>
      <w:rFonts w:ascii="Arial" w:hAnsi="Arial" w:cs="Arial"/>
      <w:b/>
    </w:rPr>
  </w:style>
  <w:style w:type="paragraph" w:styleId="Lista">
    <w:name w:val="List"/>
    <w:basedOn w:val="Textoindependiente"/>
    <w:rsid w:val="00D4758F"/>
    <w:rPr>
      <w:rFonts w:cs="Mangal"/>
    </w:rPr>
  </w:style>
  <w:style w:type="paragraph" w:styleId="Epgrafe">
    <w:name w:val="caption"/>
    <w:basedOn w:val="Normal"/>
    <w:qFormat/>
    <w:rsid w:val="00D4758F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D4758F"/>
    <w:pPr>
      <w:suppressLineNumbers/>
    </w:pPr>
    <w:rPr>
      <w:rFonts w:cs="Mangal"/>
    </w:rPr>
  </w:style>
  <w:style w:type="paragraph" w:customStyle="1" w:styleId="L1">
    <w:name w:val="L1"/>
    <w:basedOn w:val="Encabezado"/>
    <w:rsid w:val="00D4758F"/>
    <w:pPr>
      <w:keepNext/>
      <w:keepLines/>
      <w:tabs>
        <w:tab w:val="clear" w:pos="4419"/>
        <w:tab w:val="clear" w:pos="8838"/>
      </w:tabs>
      <w:jc w:val="both"/>
    </w:pPr>
    <w:rPr>
      <w:rFonts w:ascii="Arial" w:hAnsi="Arial" w:cs="Arial"/>
      <w:b/>
    </w:rPr>
  </w:style>
  <w:style w:type="paragraph" w:styleId="Piedepgina">
    <w:name w:val="footer"/>
    <w:basedOn w:val="Normal"/>
    <w:rsid w:val="00D4758F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BD34E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59C7D-BADF-4ED6-BB2F-B0524C0A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686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creator>Senado</dc:creator>
  <cp:lastModifiedBy>I.A.P.V</cp:lastModifiedBy>
  <cp:revision>6</cp:revision>
  <cp:lastPrinted>2020-01-24T14:36:00Z</cp:lastPrinted>
  <dcterms:created xsi:type="dcterms:W3CDTF">2019-03-13T14:19:00Z</dcterms:created>
  <dcterms:modified xsi:type="dcterms:W3CDTF">2020-01-24T14:38:00Z</dcterms:modified>
</cp:coreProperties>
</file>