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Pr="00012624" w:rsidRDefault="009E42ED" w:rsidP="00012624">
      <w:pPr>
        <w:jc w:val="both"/>
        <w:rPr>
          <w:rFonts w:ascii="Arial" w:hAnsi="Arial" w:cs="Arial"/>
        </w:rPr>
      </w:pPr>
    </w:p>
    <w:p w:rsidR="009E42ED" w:rsidRPr="00012624" w:rsidRDefault="009E42ED" w:rsidP="00012624">
      <w:pPr>
        <w:jc w:val="both"/>
        <w:rPr>
          <w:rFonts w:ascii="Arial" w:hAnsi="Arial" w:cs="Arial"/>
        </w:rPr>
      </w:pPr>
    </w:p>
    <w:p w:rsidR="009E42ED" w:rsidRPr="00012624" w:rsidRDefault="009E42ED" w:rsidP="00012624">
      <w:pPr>
        <w:jc w:val="both"/>
        <w:rPr>
          <w:rFonts w:ascii="Arial" w:hAnsi="Arial" w:cs="Arial"/>
        </w:rPr>
      </w:pPr>
    </w:p>
    <w:p w:rsidR="00391C3E" w:rsidRDefault="00391C3E" w:rsidP="00391C3E">
      <w:pPr>
        <w:spacing w:line="360" w:lineRule="auto"/>
        <w:jc w:val="both"/>
        <w:rPr>
          <w:rFonts w:ascii="Arial" w:hAnsi="Arial" w:cs="Arial"/>
        </w:rPr>
      </w:pPr>
      <w:r w:rsidRPr="00391C3E">
        <w:rPr>
          <w:rFonts w:ascii="Arial" w:hAnsi="Arial" w:cs="Arial"/>
          <w:b/>
          <w:u w:val="single"/>
        </w:rPr>
        <w:t>ARTICULO 1º.-</w:t>
      </w:r>
      <w:r w:rsidRPr="00391C3E">
        <w:rPr>
          <w:rFonts w:ascii="Arial" w:hAnsi="Arial" w:cs="Arial"/>
        </w:rPr>
        <w:t xml:space="preserve"> Declárese de interés Histórico – Cultural de la Provincia, el inmueble que fuera sede destinado a vivienda del Dr. Domingo Santo </w:t>
      </w:r>
      <w:proofErr w:type="spellStart"/>
      <w:r w:rsidRPr="00391C3E">
        <w:rPr>
          <w:rFonts w:ascii="Arial" w:hAnsi="Arial" w:cs="Arial"/>
        </w:rPr>
        <w:t>Liotta</w:t>
      </w:r>
      <w:proofErr w:type="spellEnd"/>
      <w:r w:rsidRPr="00391C3E">
        <w:rPr>
          <w:rFonts w:ascii="Arial" w:hAnsi="Arial" w:cs="Arial"/>
        </w:rPr>
        <w:t>, que según plano de mensura Nº 34.076, se ubica en la ciudad de Diamante, provincia de Entre Ríos, con inscripción de dominio en fecha 01/12/1947 (título I y II) y 02/03/1977 (</w:t>
      </w:r>
      <w:proofErr w:type="spellStart"/>
      <w:r w:rsidRPr="00391C3E">
        <w:rPr>
          <w:rFonts w:ascii="Arial" w:hAnsi="Arial" w:cs="Arial"/>
        </w:rPr>
        <w:t>titulo</w:t>
      </w:r>
      <w:proofErr w:type="spellEnd"/>
      <w:r w:rsidRPr="00391C3E">
        <w:rPr>
          <w:rFonts w:ascii="Arial" w:hAnsi="Arial" w:cs="Arial"/>
        </w:rPr>
        <w:t xml:space="preserve"> III); Tomo 35; Folio 767; Partida Nº 108778.</w:t>
      </w:r>
    </w:p>
    <w:p w:rsidR="00391C3E" w:rsidRPr="00391C3E" w:rsidRDefault="00391C3E" w:rsidP="00391C3E">
      <w:pPr>
        <w:spacing w:line="360" w:lineRule="auto"/>
        <w:jc w:val="both"/>
        <w:rPr>
          <w:rFonts w:ascii="Arial" w:hAnsi="Arial" w:cs="Arial"/>
        </w:rPr>
      </w:pPr>
    </w:p>
    <w:p w:rsidR="00391C3E" w:rsidRDefault="00391C3E" w:rsidP="00391C3E">
      <w:pPr>
        <w:spacing w:line="360" w:lineRule="auto"/>
        <w:jc w:val="both"/>
        <w:rPr>
          <w:rFonts w:ascii="Arial" w:hAnsi="Arial" w:cs="Arial"/>
        </w:rPr>
      </w:pPr>
      <w:r w:rsidRPr="00391C3E">
        <w:rPr>
          <w:rFonts w:ascii="Arial" w:hAnsi="Arial" w:cs="Arial"/>
          <w:b/>
          <w:u w:val="single"/>
        </w:rPr>
        <w:t>ARTICULO 2º.-</w:t>
      </w:r>
      <w:r w:rsidRPr="00391C3E">
        <w:rPr>
          <w:rFonts w:ascii="Arial" w:hAnsi="Arial" w:cs="Arial"/>
        </w:rPr>
        <w:t xml:space="preserve"> El edificio principal, sus instalaciones, fachada, inmuebles por accesión, serán considerados “Lugar Histórico Cultural” de Entre Ríos y quedarán sujetos al régimen establecido por el decreto provincial Nº 6676/03, el que regirá también lo relativo a los bienes muebles que se encuentran en el interior del edificio. </w:t>
      </w:r>
    </w:p>
    <w:p w:rsidR="00391C3E" w:rsidRPr="00391C3E" w:rsidRDefault="00391C3E" w:rsidP="00391C3E">
      <w:pPr>
        <w:spacing w:line="360" w:lineRule="auto"/>
        <w:jc w:val="both"/>
        <w:rPr>
          <w:rFonts w:ascii="Arial" w:hAnsi="Arial" w:cs="Arial"/>
        </w:rPr>
      </w:pPr>
    </w:p>
    <w:p w:rsidR="00391C3E" w:rsidRPr="00391C3E" w:rsidRDefault="00391C3E" w:rsidP="00391C3E">
      <w:pPr>
        <w:spacing w:line="360" w:lineRule="auto"/>
        <w:jc w:val="both"/>
        <w:rPr>
          <w:rFonts w:ascii="Arial" w:hAnsi="Arial" w:cs="Arial"/>
        </w:rPr>
      </w:pPr>
      <w:r w:rsidRPr="00391C3E">
        <w:rPr>
          <w:rFonts w:ascii="Arial" w:hAnsi="Arial" w:cs="Arial"/>
          <w:b/>
          <w:u w:val="single"/>
        </w:rPr>
        <w:t>ARTICULO 3º.-</w:t>
      </w:r>
      <w:r w:rsidRPr="00391C3E">
        <w:rPr>
          <w:rFonts w:ascii="Arial" w:hAnsi="Arial" w:cs="Arial"/>
        </w:rPr>
        <w:t xml:space="preserve"> Respecto de los bienes enunciados en la presente ley: </w:t>
      </w:r>
    </w:p>
    <w:p w:rsidR="00391C3E" w:rsidRPr="00391C3E" w:rsidRDefault="00391C3E" w:rsidP="006D2AE7">
      <w:pPr>
        <w:pStyle w:val="Prrafodelista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391C3E">
        <w:rPr>
          <w:rFonts w:ascii="Arial" w:hAnsi="Arial" w:cs="Arial"/>
          <w:sz w:val="24"/>
          <w:szCs w:val="24"/>
        </w:rPr>
        <w:t>Cualquier reforma, ampliación, refacción, re funcionalización y/o intervención que sobre el bien se pretenda ejecutar, tanto en su estructura arquitectónica como morfológica, deberá contar con la previa y expresa autorización del Área de Preservación del Patrimonio Cultural y Ambiental, dependiente de la Secretaría de Gobierno y Cultura o en su caso, la entidad que la reemplace;</w:t>
      </w:r>
    </w:p>
    <w:p w:rsidR="00391C3E" w:rsidRPr="00391C3E" w:rsidRDefault="00391C3E" w:rsidP="00391C3E">
      <w:pPr>
        <w:pStyle w:val="Prrafodelista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391C3E">
        <w:rPr>
          <w:rFonts w:ascii="Arial" w:hAnsi="Arial" w:cs="Arial"/>
          <w:sz w:val="24"/>
          <w:szCs w:val="24"/>
        </w:rPr>
        <w:t>Durante la vigencia de la declaración y afectación aludida, no podrán ser cambiados de destino, extraídos, trasladados, ni ser transferidos por cualquier título;</w:t>
      </w:r>
    </w:p>
    <w:p w:rsidR="00391C3E" w:rsidRPr="00391C3E" w:rsidRDefault="00391C3E" w:rsidP="00391C3E">
      <w:pPr>
        <w:pStyle w:val="Prrafodelista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91C3E">
        <w:rPr>
          <w:rFonts w:ascii="Arial" w:hAnsi="Arial" w:cs="Arial"/>
          <w:sz w:val="24"/>
          <w:szCs w:val="24"/>
        </w:rPr>
        <w:t xml:space="preserve">Toda intervención que deba efectuarse sobre ellos y que esté relacionada con las actividades enunciadas en los incisos a) y b) del presente artículo, </w:t>
      </w:r>
      <w:r w:rsidRPr="00391C3E">
        <w:rPr>
          <w:rFonts w:ascii="Arial" w:hAnsi="Arial" w:cs="Arial"/>
          <w:sz w:val="24"/>
          <w:szCs w:val="24"/>
        </w:rPr>
        <w:lastRenderedPageBreak/>
        <w:t xml:space="preserve">deberá contar con el asesoramiento técnico especializado y pertinente, debiendo para ello el Estado Provincial proveer personal idóneo. </w:t>
      </w:r>
    </w:p>
    <w:p w:rsidR="00391C3E" w:rsidRDefault="00391C3E" w:rsidP="00391C3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391C3E" w:rsidRDefault="00391C3E" w:rsidP="00391C3E">
      <w:pPr>
        <w:spacing w:line="360" w:lineRule="auto"/>
        <w:jc w:val="both"/>
        <w:rPr>
          <w:rFonts w:ascii="Arial" w:hAnsi="Arial" w:cs="Arial"/>
        </w:rPr>
      </w:pPr>
      <w:r w:rsidRPr="00391C3E">
        <w:rPr>
          <w:rFonts w:ascii="Arial" w:hAnsi="Arial" w:cs="Arial"/>
          <w:b/>
          <w:u w:val="single"/>
        </w:rPr>
        <w:t>ARTICULO 4º.-</w:t>
      </w:r>
      <w:r w:rsidRPr="00391C3E">
        <w:rPr>
          <w:rFonts w:ascii="Arial" w:hAnsi="Arial" w:cs="Arial"/>
        </w:rPr>
        <w:t xml:space="preserve"> En ningún caso las medidas enunciadas en el artículo precedente afectarán el ejercicio pleno del derecho de propiedad.</w:t>
      </w:r>
    </w:p>
    <w:p w:rsidR="00391C3E" w:rsidRPr="00391C3E" w:rsidRDefault="00391C3E" w:rsidP="00391C3E">
      <w:pPr>
        <w:spacing w:line="360" w:lineRule="auto"/>
        <w:jc w:val="both"/>
        <w:rPr>
          <w:rFonts w:ascii="Arial" w:hAnsi="Arial" w:cs="Arial"/>
        </w:rPr>
      </w:pPr>
    </w:p>
    <w:p w:rsidR="00391C3E" w:rsidRDefault="00391C3E" w:rsidP="00391C3E">
      <w:pPr>
        <w:spacing w:line="360" w:lineRule="auto"/>
        <w:jc w:val="both"/>
        <w:rPr>
          <w:rFonts w:ascii="Arial" w:hAnsi="Arial" w:cs="Arial"/>
        </w:rPr>
      </w:pPr>
      <w:r w:rsidRPr="00391C3E">
        <w:rPr>
          <w:rFonts w:ascii="Arial" w:hAnsi="Arial" w:cs="Arial"/>
          <w:b/>
          <w:u w:val="single"/>
        </w:rPr>
        <w:t>ARTICULO 5º.-</w:t>
      </w:r>
      <w:r w:rsidRPr="00391C3E">
        <w:rPr>
          <w:rFonts w:ascii="Arial" w:hAnsi="Arial" w:cs="Arial"/>
        </w:rPr>
        <w:t xml:space="preserve"> Los recursos que demande el cumplimiento de la presente serán afectados del Presupuesto General de la Provincia, de la partida correspondiente a Ingresos Tributarios, Rentas Generales, conforme los programas y proyectos que para cada ejercicio proponga el titular del inmueble en conjunto con el Área de Preservación del Patrimonio Cultural y Ambiental, dependiente de la Secretaría de Gobierno y Cultura. </w:t>
      </w:r>
    </w:p>
    <w:p w:rsidR="00391C3E" w:rsidRPr="00391C3E" w:rsidRDefault="00391C3E" w:rsidP="00391C3E">
      <w:pPr>
        <w:spacing w:line="360" w:lineRule="auto"/>
        <w:jc w:val="both"/>
        <w:rPr>
          <w:rFonts w:ascii="Arial" w:hAnsi="Arial" w:cs="Arial"/>
        </w:rPr>
      </w:pPr>
    </w:p>
    <w:p w:rsidR="00391C3E" w:rsidRPr="00391C3E" w:rsidRDefault="00391C3E" w:rsidP="00391C3E">
      <w:pPr>
        <w:spacing w:line="360" w:lineRule="auto"/>
        <w:jc w:val="both"/>
        <w:rPr>
          <w:rFonts w:ascii="Arial" w:hAnsi="Arial" w:cs="Arial"/>
        </w:rPr>
      </w:pPr>
      <w:r w:rsidRPr="00391C3E">
        <w:rPr>
          <w:rFonts w:ascii="Arial" w:hAnsi="Arial" w:cs="Arial"/>
          <w:b/>
          <w:u w:val="single"/>
        </w:rPr>
        <w:t>ARTICULO 6º.-</w:t>
      </w:r>
      <w:r w:rsidRPr="00391C3E">
        <w:rPr>
          <w:rFonts w:ascii="Arial" w:hAnsi="Arial" w:cs="Arial"/>
        </w:rPr>
        <w:t xml:space="preserve"> Comuníquese, etcétera. </w:t>
      </w:r>
    </w:p>
    <w:p w:rsidR="009E42ED" w:rsidRPr="00391C3E" w:rsidRDefault="009E42ED">
      <w:pPr>
        <w:rPr>
          <w:rFonts w:ascii="Arial" w:hAnsi="Arial" w:cs="Arial"/>
        </w:rPr>
      </w:pPr>
    </w:p>
    <w:p w:rsidR="009E42ED" w:rsidRPr="00391C3E" w:rsidRDefault="009E42ED">
      <w:pPr>
        <w:jc w:val="both"/>
        <w:rPr>
          <w:rFonts w:ascii="Arial" w:hAnsi="Arial" w:cs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FF117D">
        <w:t>3 de marzo de 2020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1D6319" w:rsidRDefault="001D6319">
      <w:pPr>
        <w:jc w:val="both"/>
        <w:rPr>
          <w:rFonts w:ascii="Arial" w:hAnsi="Arial"/>
        </w:rPr>
      </w:pPr>
    </w:p>
    <w:p w:rsidR="001D6319" w:rsidRPr="0028254B" w:rsidRDefault="001D6319" w:rsidP="00697826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   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1D6319" w:rsidRPr="0028254B" w:rsidRDefault="001D6319" w:rsidP="00697826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President</w:t>
      </w:r>
      <w:r w:rsidR="008B0FF0">
        <w:rPr>
          <w:rFonts w:ascii="Arial" w:hAnsi="Arial" w:cs="Arial"/>
          <w:b/>
        </w:rPr>
        <w:t>a</w:t>
      </w:r>
      <w:r w:rsidRPr="0028254B">
        <w:rPr>
          <w:rFonts w:ascii="Arial" w:hAnsi="Arial" w:cs="Arial"/>
          <w:b/>
        </w:rPr>
        <w:t xml:space="preserve"> H. C. de Senadores</w:t>
      </w:r>
    </w:p>
    <w:p w:rsidR="001D6319" w:rsidRPr="0028254B" w:rsidRDefault="001D6319" w:rsidP="00697826">
      <w:pPr>
        <w:jc w:val="both"/>
        <w:rPr>
          <w:rFonts w:ascii="Arial" w:hAnsi="Arial" w:cs="Arial"/>
          <w:b/>
        </w:rPr>
      </w:pPr>
    </w:p>
    <w:p w:rsidR="001D6319" w:rsidRPr="0028254B" w:rsidRDefault="001D6319" w:rsidP="00697826">
      <w:pPr>
        <w:jc w:val="both"/>
        <w:rPr>
          <w:rFonts w:ascii="Arial" w:hAnsi="Arial" w:cs="Arial"/>
          <w:b/>
        </w:rPr>
      </w:pPr>
    </w:p>
    <w:p w:rsidR="001D6319" w:rsidRPr="0028254B" w:rsidRDefault="001D6319" w:rsidP="00697826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1D6319" w:rsidRPr="0028254B" w:rsidRDefault="001D6319" w:rsidP="00697826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1D6319" w:rsidRPr="0028254B" w:rsidRDefault="001D6319" w:rsidP="00697826">
      <w:pPr>
        <w:jc w:val="both"/>
        <w:rPr>
          <w:rFonts w:ascii="Arial" w:hAnsi="Arial" w:cs="Arial"/>
          <w:b/>
        </w:rPr>
      </w:pPr>
    </w:p>
    <w:p w:rsidR="001D6319" w:rsidRPr="0028254B" w:rsidRDefault="001D6319" w:rsidP="00697826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  <w:bookmarkStart w:id="0" w:name="_GoBack"/>
      <w:bookmarkEnd w:id="0"/>
    </w:p>
    <w:sectPr w:rsidR="001D6319" w:rsidRPr="0028254B" w:rsidSect="008B0FF0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D3B" w:rsidRDefault="00C57D3B">
      <w:r>
        <w:separator/>
      </w:r>
    </w:p>
  </w:endnote>
  <w:endnote w:type="continuationSeparator" w:id="0">
    <w:p w:rsidR="00C57D3B" w:rsidRDefault="00C5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D3B" w:rsidRDefault="00C57D3B">
      <w:r>
        <w:separator/>
      </w:r>
    </w:p>
  </w:footnote>
  <w:footnote w:type="continuationSeparator" w:id="0">
    <w:p w:rsidR="00C57D3B" w:rsidRDefault="00C5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971E61"/>
    <w:multiLevelType w:val="hybridMultilevel"/>
    <w:tmpl w:val="351E3068"/>
    <w:lvl w:ilvl="0" w:tplc="8A0EDF8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EB1FC7"/>
    <w:multiLevelType w:val="hybridMultilevel"/>
    <w:tmpl w:val="550C10F6"/>
    <w:lvl w:ilvl="0" w:tplc="033A0D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5"/>
    <w:rsid w:val="00012624"/>
    <w:rsid w:val="00053A0C"/>
    <w:rsid w:val="00062116"/>
    <w:rsid w:val="0007475D"/>
    <w:rsid w:val="0009768D"/>
    <w:rsid w:val="000B130F"/>
    <w:rsid w:val="00165B0B"/>
    <w:rsid w:val="001C5C2B"/>
    <w:rsid w:val="001D6319"/>
    <w:rsid w:val="002578CB"/>
    <w:rsid w:val="00372251"/>
    <w:rsid w:val="00383909"/>
    <w:rsid w:val="00391C3E"/>
    <w:rsid w:val="00624434"/>
    <w:rsid w:val="00631419"/>
    <w:rsid w:val="00814FEA"/>
    <w:rsid w:val="008343F2"/>
    <w:rsid w:val="00870BDC"/>
    <w:rsid w:val="008B0FF0"/>
    <w:rsid w:val="00942D29"/>
    <w:rsid w:val="009605D3"/>
    <w:rsid w:val="009830E5"/>
    <w:rsid w:val="009B03C5"/>
    <w:rsid w:val="009E42ED"/>
    <w:rsid w:val="00A672F3"/>
    <w:rsid w:val="00AD4BCC"/>
    <w:rsid w:val="00B36EF2"/>
    <w:rsid w:val="00BD38A2"/>
    <w:rsid w:val="00BE6577"/>
    <w:rsid w:val="00C57D3B"/>
    <w:rsid w:val="00CA289E"/>
    <w:rsid w:val="00CD6FE7"/>
    <w:rsid w:val="00D10447"/>
    <w:rsid w:val="00DF5EC7"/>
    <w:rsid w:val="00E400A2"/>
    <w:rsid w:val="00EA6B3B"/>
    <w:rsid w:val="00F228EE"/>
    <w:rsid w:val="00F24CAF"/>
    <w:rsid w:val="00F94D70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customStyle="1" w:styleId="xydpa4b27ebmsonormal">
    <w:name w:val="x_ydpa4b27ebmsonormal"/>
    <w:basedOn w:val="Normal"/>
    <w:rsid w:val="00053A0C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012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rsid w:val="001D63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D631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Senado</cp:lastModifiedBy>
  <cp:revision>3</cp:revision>
  <cp:lastPrinted>2020-03-04T11:28:00Z</cp:lastPrinted>
  <dcterms:created xsi:type="dcterms:W3CDTF">2020-03-04T13:53:00Z</dcterms:created>
  <dcterms:modified xsi:type="dcterms:W3CDTF">2020-03-05T11:31:00Z</dcterms:modified>
</cp:coreProperties>
</file>