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2B87F" w14:textId="77777777" w:rsidR="007829AD" w:rsidRPr="008F4A14" w:rsidRDefault="008F4A14" w:rsidP="008F4A14">
      <w:pPr>
        <w:pStyle w:val="Subttulo"/>
        <w:spacing w:line="360" w:lineRule="auto"/>
        <w:rPr>
          <w:rFonts w:ascii="Arial" w:hAnsi="Arial" w:cs="Arial"/>
          <w:color w:val="auto"/>
          <w:sz w:val="28"/>
          <w:szCs w:val="28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081FC369" wp14:editId="45984220">
            <wp:simplePos x="0" y="0"/>
            <wp:positionH relativeFrom="column">
              <wp:posOffset>-13335</wp:posOffset>
            </wp:positionH>
            <wp:positionV relativeFrom="paragraph">
              <wp:posOffset>-271145</wp:posOffset>
            </wp:positionV>
            <wp:extent cx="3010320" cy="1305107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C8FD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ACC80F" w14:textId="77777777" w:rsidR="008F4A14" w:rsidRPr="008F4A14" w:rsidRDefault="008F4A14" w:rsidP="008F4A14">
      <w:pPr>
        <w:spacing w:line="360" w:lineRule="auto"/>
        <w:rPr>
          <w:rFonts w:ascii="Arial" w:hAnsi="Arial" w:cs="Arial"/>
          <w:sz w:val="28"/>
          <w:szCs w:val="28"/>
        </w:rPr>
      </w:pPr>
    </w:p>
    <w:p w14:paraId="1883E542" w14:textId="77777777" w:rsidR="008F4A14" w:rsidRPr="008F4A14" w:rsidRDefault="008F4A14" w:rsidP="008F4A14">
      <w:pPr>
        <w:spacing w:line="360" w:lineRule="auto"/>
        <w:rPr>
          <w:rFonts w:ascii="Arial" w:hAnsi="Arial" w:cs="Arial"/>
          <w:sz w:val="28"/>
          <w:szCs w:val="28"/>
        </w:rPr>
      </w:pPr>
    </w:p>
    <w:p w14:paraId="16FEC78E" w14:textId="77777777" w:rsidR="008F4A14" w:rsidRPr="008F4A14" w:rsidRDefault="008F4A14" w:rsidP="00C02EAD">
      <w:pPr>
        <w:pStyle w:val="Subttulo"/>
        <w:pBdr>
          <w:bottom w:val="single" w:sz="4" w:space="1" w:color="auto"/>
        </w:pBdr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473A5D5D" w14:textId="77777777" w:rsidR="00446E3C" w:rsidRPr="008F4A14" w:rsidRDefault="008F4A14" w:rsidP="008F4A14">
      <w:pPr>
        <w:pStyle w:val="Subttulo"/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8F4A14">
        <w:rPr>
          <w:rFonts w:ascii="Arial" w:hAnsi="Arial" w:cs="Arial"/>
          <w:b/>
          <w:color w:val="auto"/>
          <w:sz w:val="28"/>
          <w:szCs w:val="28"/>
        </w:rPr>
        <w:t>FUNDAMENTOS:</w:t>
      </w:r>
    </w:p>
    <w:p w14:paraId="251C9D44" w14:textId="77777777" w:rsidR="008F4A14" w:rsidRPr="008F4A14" w:rsidRDefault="008F4A14" w:rsidP="008F4A1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5CA036E" w14:textId="77777777" w:rsidR="00A410BF" w:rsidRPr="008F4A14" w:rsidRDefault="00A410BF" w:rsidP="008F4A1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4A14">
        <w:rPr>
          <w:rFonts w:ascii="Arial" w:hAnsi="Arial" w:cs="Arial"/>
          <w:sz w:val="28"/>
          <w:szCs w:val="28"/>
        </w:rPr>
        <w:t>Las medidas implementadas desde el Gobierno Nacional y la adhesión de la Provincia de Entre Ríos en materia de salud, entre la que destaca el aislamiento social obligatorio, tienen indudables incidencias en la economía.</w:t>
      </w:r>
    </w:p>
    <w:p w14:paraId="41F288F9" w14:textId="77777777" w:rsidR="00A410BF" w:rsidRPr="008F4A14" w:rsidRDefault="00303777" w:rsidP="008F4A1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4A14">
        <w:rPr>
          <w:rFonts w:ascii="Arial" w:hAnsi="Arial" w:cs="Arial"/>
          <w:sz w:val="28"/>
          <w:szCs w:val="28"/>
        </w:rPr>
        <w:t>Nuestro país caracterizó por las exigencias en términos sanitarios y duración de las medidas adoptadas, sin importar los costos de estas exigencias. En este marco e</w:t>
      </w:r>
      <w:r w:rsidR="00A410BF" w:rsidRPr="008F4A14">
        <w:rPr>
          <w:rFonts w:ascii="Arial" w:hAnsi="Arial" w:cs="Arial"/>
          <w:sz w:val="28"/>
          <w:szCs w:val="28"/>
        </w:rPr>
        <w:t>l tejido económico de toda la provincia se ve afectada. No podemos desconocer medidas de auxilio implementadas tanto en plano nacional como provincial tendiente a sostener a empresas, emprendedores,</w:t>
      </w:r>
      <w:r w:rsidRPr="008F4A14">
        <w:rPr>
          <w:rFonts w:ascii="Arial" w:hAnsi="Arial" w:cs="Arial"/>
          <w:sz w:val="28"/>
          <w:szCs w:val="28"/>
        </w:rPr>
        <w:t xml:space="preserve"> pymes y el comercio en general.</w:t>
      </w:r>
    </w:p>
    <w:p w14:paraId="107D9585" w14:textId="77777777" w:rsidR="00303777" w:rsidRPr="008F4A14" w:rsidRDefault="00303777" w:rsidP="008F4A1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4A14">
        <w:rPr>
          <w:rFonts w:ascii="Arial" w:hAnsi="Arial" w:cs="Arial"/>
          <w:sz w:val="28"/>
          <w:szCs w:val="28"/>
        </w:rPr>
        <w:t xml:space="preserve">El estado provincial, y ya en plano tributario, ha diferido vencimientos de impuestos inmobiliarios – automotor e IIBB. Aun ponderando estas creemos necesarias otras implementar otras, como esta propuesta que elevamos, y que solo promueve descuentos por pago total del importe, o el diferimiento de un porcentaje de la misma que será ingresado, como monto supletorio en anticipos del ejercicio siguiente. </w:t>
      </w:r>
    </w:p>
    <w:p w14:paraId="3CDDD9B9" w14:textId="77777777" w:rsidR="00A410BF" w:rsidRPr="008F4A14" w:rsidRDefault="00A410BF" w:rsidP="008F4A14">
      <w:pPr>
        <w:spacing w:line="360" w:lineRule="auto"/>
        <w:rPr>
          <w:rFonts w:ascii="Arial" w:hAnsi="Arial" w:cs="Arial"/>
          <w:sz w:val="28"/>
          <w:szCs w:val="28"/>
        </w:rPr>
      </w:pPr>
    </w:p>
    <w:p w14:paraId="25F64FD9" w14:textId="77777777" w:rsidR="00446E3C" w:rsidRPr="008F4A14" w:rsidRDefault="00DF1F23" w:rsidP="008F4A1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7D2D9B31" wp14:editId="59A79146">
            <wp:simplePos x="0" y="0"/>
            <wp:positionH relativeFrom="column">
              <wp:posOffset>-13335</wp:posOffset>
            </wp:positionH>
            <wp:positionV relativeFrom="paragraph">
              <wp:posOffset>-262890</wp:posOffset>
            </wp:positionV>
            <wp:extent cx="3009900" cy="13049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C8FD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1EFCD" w14:textId="77777777" w:rsidR="008F4A14" w:rsidRDefault="008F4A14" w:rsidP="008F4A14">
      <w:pPr>
        <w:pStyle w:val="Subttulo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14:paraId="49397F9C" w14:textId="77777777" w:rsidR="00C02EAD" w:rsidRDefault="00C02EAD" w:rsidP="008F4A14">
      <w:pPr>
        <w:pStyle w:val="Subttulo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14:paraId="3DE1727E" w14:textId="77777777" w:rsidR="00C02EAD" w:rsidRDefault="00C02EAD" w:rsidP="008F4A14">
      <w:pPr>
        <w:pStyle w:val="Subttulo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</w:p>
    <w:p w14:paraId="0CF2180E" w14:textId="77777777" w:rsidR="008F4A14" w:rsidRPr="00424C65" w:rsidRDefault="00446E3C" w:rsidP="00424C65">
      <w:pPr>
        <w:pStyle w:val="Subttulo"/>
        <w:spacing w:line="360" w:lineRule="auto"/>
        <w:jc w:val="center"/>
        <w:rPr>
          <w:rFonts w:ascii="Arial" w:hAnsi="Arial" w:cs="Arial"/>
          <w:color w:val="auto"/>
          <w:sz w:val="26"/>
          <w:szCs w:val="26"/>
        </w:rPr>
      </w:pPr>
      <w:r w:rsidRPr="00424C65">
        <w:rPr>
          <w:rFonts w:ascii="Arial" w:hAnsi="Arial" w:cs="Arial"/>
          <w:color w:val="auto"/>
          <w:sz w:val="26"/>
          <w:szCs w:val="26"/>
        </w:rPr>
        <w:t>El HONORABLE SENAD</w:t>
      </w:r>
      <w:r w:rsidR="008F4A14" w:rsidRPr="00424C65">
        <w:rPr>
          <w:rFonts w:ascii="Arial" w:hAnsi="Arial" w:cs="Arial"/>
          <w:color w:val="auto"/>
          <w:sz w:val="26"/>
          <w:szCs w:val="26"/>
        </w:rPr>
        <w:t>O DE LA PROVINCIA DE ENTRE RÍOS:</w:t>
      </w:r>
    </w:p>
    <w:p w14:paraId="3E91811E" w14:textId="77777777" w:rsidR="008F4A14" w:rsidRDefault="008F4A14" w:rsidP="008F4A14">
      <w:pPr>
        <w:pStyle w:val="Subttulo"/>
        <w:spacing w:line="360" w:lineRule="auto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8F4A14">
        <w:rPr>
          <w:rFonts w:ascii="Arial" w:hAnsi="Arial" w:cs="Arial"/>
          <w:b/>
          <w:color w:val="auto"/>
          <w:sz w:val="28"/>
          <w:szCs w:val="28"/>
          <w:u w:val="single"/>
        </w:rPr>
        <w:t>COMUNICA</w:t>
      </w:r>
    </w:p>
    <w:p w14:paraId="6F131FEE" w14:textId="77777777" w:rsidR="008F4A14" w:rsidRPr="008F4A14" w:rsidRDefault="008F4A14" w:rsidP="008F4A14"/>
    <w:p w14:paraId="4BBCEAF7" w14:textId="77777777" w:rsidR="004B6A7A" w:rsidRPr="008F4A14" w:rsidRDefault="008F4A14" w:rsidP="008F4A14">
      <w:pPr>
        <w:pStyle w:val="Subttulo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Que </w:t>
      </w:r>
      <w:r w:rsidR="00446E3C" w:rsidRPr="008F4A14">
        <w:rPr>
          <w:rFonts w:ascii="Arial" w:hAnsi="Arial" w:cs="Arial"/>
          <w:color w:val="auto"/>
          <w:sz w:val="28"/>
          <w:szCs w:val="28"/>
        </w:rPr>
        <w:t>v</w:t>
      </w:r>
      <w:r w:rsidR="00265452" w:rsidRPr="008F4A14">
        <w:rPr>
          <w:rFonts w:ascii="Arial" w:hAnsi="Arial" w:cs="Arial"/>
          <w:color w:val="auto"/>
          <w:sz w:val="28"/>
          <w:szCs w:val="28"/>
        </w:rPr>
        <w:t>ería con agrado que el POD</w:t>
      </w:r>
      <w:r w:rsidR="004B6A7A" w:rsidRPr="008F4A14">
        <w:rPr>
          <w:rFonts w:ascii="Arial" w:hAnsi="Arial" w:cs="Arial"/>
          <w:color w:val="auto"/>
          <w:sz w:val="28"/>
          <w:szCs w:val="28"/>
        </w:rPr>
        <w:t>ER EJECUTIVO a través del organismo encargado de la aplicación de Código Fiscal y demás normativas reglamentarias al respecto (ATER – Artículo 7° CF) establezca como metodología de pago para los vencimiento</w:t>
      </w:r>
      <w:r w:rsidR="00706B39" w:rsidRPr="008F4A14">
        <w:rPr>
          <w:rFonts w:ascii="Arial" w:hAnsi="Arial" w:cs="Arial"/>
          <w:color w:val="auto"/>
          <w:sz w:val="28"/>
          <w:szCs w:val="28"/>
        </w:rPr>
        <w:t>s</w:t>
      </w:r>
      <w:r w:rsidR="004B6A7A" w:rsidRPr="008F4A14">
        <w:rPr>
          <w:rFonts w:ascii="Arial" w:hAnsi="Arial" w:cs="Arial"/>
          <w:color w:val="auto"/>
          <w:sz w:val="28"/>
          <w:szCs w:val="28"/>
        </w:rPr>
        <w:t xml:space="preserve"> del corriente ejercic</w:t>
      </w:r>
      <w:r w:rsidR="00706B39" w:rsidRPr="008F4A14">
        <w:rPr>
          <w:rFonts w:ascii="Arial" w:hAnsi="Arial" w:cs="Arial"/>
          <w:color w:val="auto"/>
          <w:sz w:val="28"/>
          <w:szCs w:val="28"/>
        </w:rPr>
        <w:t>io de los sigu</w:t>
      </w:r>
      <w:r w:rsidR="00675D4F" w:rsidRPr="008F4A14">
        <w:rPr>
          <w:rFonts w:ascii="Arial" w:hAnsi="Arial" w:cs="Arial"/>
          <w:color w:val="auto"/>
          <w:sz w:val="28"/>
          <w:szCs w:val="28"/>
        </w:rPr>
        <w:t>ientes impuestos</w:t>
      </w:r>
      <w:r w:rsidR="00446E3C" w:rsidRPr="008F4A14">
        <w:rPr>
          <w:rFonts w:ascii="Arial" w:hAnsi="Arial" w:cs="Arial"/>
          <w:color w:val="auto"/>
          <w:sz w:val="28"/>
          <w:szCs w:val="28"/>
        </w:rPr>
        <w:t>:</w:t>
      </w:r>
      <w:r w:rsidR="00675D4F" w:rsidRPr="008F4A14">
        <w:rPr>
          <w:rFonts w:ascii="Arial" w:hAnsi="Arial" w:cs="Arial"/>
          <w:color w:val="auto"/>
          <w:sz w:val="28"/>
          <w:szCs w:val="28"/>
        </w:rPr>
        <w:t xml:space="preserve"> Inmobiliarios – Régimen simplificado de IIBB y Automotor lo siguiente:</w:t>
      </w:r>
    </w:p>
    <w:p w14:paraId="298EE929" w14:textId="77777777" w:rsidR="00675D4F" w:rsidRPr="008F4A14" w:rsidRDefault="00675D4F" w:rsidP="008F4A14">
      <w:pPr>
        <w:pStyle w:val="Subttul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 w:rsidRPr="008F4A14">
        <w:rPr>
          <w:rFonts w:ascii="Arial" w:hAnsi="Arial" w:cs="Arial"/>
          <w:color w:val="auto"/>
          <w:sz w:val="28"/>
          <w:szCs w:val="28"/>
        </w:rPr>
        <w:t>Pago total de tributo a la fecha de vencimiento con un descuento del 20%; o</w:t>
      </w:r>
    </w:p>
    <w:p w14:paraId="6A93A528" w14:textId="77777777" w:rsidR="00675D4F" w:rsidRPr="008F4A14" w:rsidRDefault="00675D4F" w:rsidP="008F4A14">
      <w:pPr>
        <w:pStyle w:val="Subttulo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 w:rsidRPr="008F4A14">
        <w:rPr>
          <w:rFonts w:ascii="Arial" w:hAnsi="Arial" w:cs="Arial"/>
          <w:color w:val="auto"/>
          <w:sz w:val="28"/>
          <w:szCs w:val="28"/>
        </w:rPr>
        <w:t xml:space="preserve">Pago del 60% de la liquidación pertinente y el saldo prorrateado en </w:t>
      </w:r>
      <w:r w:rsidR="00446E3C" w:rsidRPr="008F4A14">
        <w:rPr>
          <w:rFonts w:ascii="Arial" w:hAnsi="Arial" w:cs="Arial"/>
          <w:color w:val="auto"/>
          <w:sz w:val="28"/>
          <w:szCs w:val="28"/>
        </w:rPr>
        <w:t>2</w:t>
      </w:r>
      <w:r w:rsidRPr="008F4A14">
        <w:rPr>
          <w:rFonts w:ascii="Arial" w:hAnsi="Arial" w:cs="Arial"/>
          <w:color w:val="auto"/>
          <w:sz w:val="28"/>
          <w:szCs w:val="28"/>
        </w:rPr>
        <w:t xml:space="preserve"> cuotas iguales y consecutivas con los anticipos y/o liquidaciones del impuesto durante ejercicio 2021</w:t>
      </w:r>
    </w:p>
    <w:p w14:paraId="3D33D283" w14:textId="77777777" w:rsidR="00265452" w:rsidRPr="00424C65" w:rsidRDefault="00675D4F" w:rsidP="00424C65">
      <w:pPr>
        <w:pStyle w:val="Subttulo"/>
        <w:spacing w:line="360" w:lineRule="auto"/>
        <w:jc w:val="both"/>
        <w:rPr>
          <w:rFonts w:ascii="Arial" w:hAnsi="Arial" w:cs="Arial"/>
          <w:color w:val="auto"/>
          <w:sz w:val="28"/>
          <w:szCs w:val="28"/>
        </w:rPr>
      </w:pPr>
      <w:r w:rsidRPr="008F4A14">
        <w:rPr>
          <w:rFonts w:ascii="Arial" w:hAnsi="Arial" w:cs="Arial"/>
          <w:color w:val="auto"/>
          <w:sz w:val="28"/>
          <w:szCs w:val="28"/>
        </w:rPr>
        <w:t xml:space="preserve">Para acceder a estos beneficios el contribuyente debe contar con libre deuda de impuestos provinciales expedidos por ATER. </w:t>
      </w:r>
    </w:p>
    <w:sectPr w:rsidR="00265452" w:rsidRPr="00424C65" w:rsidSect="00C02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D7AB3"/>
    <w:multiLevelType w:val="hybridMultilevel"/>
    <w:tmpl w:val="C06C721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7BFF"/>
    <w:multiLevelType w:val="hybridMultilevel"/>
    <w:tmpl w:val="97121A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A77AB"/>
    <w:multiLevelType w:val="hybridMultilevel"/>
    <w:tmpl w:val="AF42F93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05"/>
    <w:rsid w:val="000B5B05"/>
    <w:rsid w:val="000F1EA4"/>
    <w:rsid w:val="000F3CC8"/>
    <w:rsid w:val="00105672"/>
    <w:rsid w:val="00265452"/>
    <w:rsid w:val="002B5ED9"/>
    <w:rsid w:val="00303777"/>
    <w:rsid w:val="00424C65"/>
    <w:rsid w:val="00446E3C"/>
    <w:rsid w:val="004B6A7A"/>
    <w:rsid w:val="00533768"/>
    <w:rsid w:val="00602E05"/>
    <w:rsid w:val="00675D4F"/>
    <w:rsid w:val="00706B39"/>
    <w:rsid w:val="007829AD"/>
    <w:rsid w:val="008F4A14"/>
    <w:rsid w:val="00A362C1"/>
    <w:rsid w:val="00A410BF"/>
    <w:rsid w:val="00C02EAD"/>
    <w:rsid w:val="00CC5B61"/>
    <w:rsid w:val="00CF0000"/>
    <w:rsid w:val="00D95526"/>
    <w:rsid w:val="00DD0751"/>
    <w:rsid w:val="00DF1F23"/>
    <w:rsid w:val="00DF2CDD"/>
    <w:rsid w:val="00EE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553D"/>
  <w15:chartTrackingRefBased/>
  <w15:docId w15:val="{D748E163-E5E0-41FD-9320-7E2E7801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5452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A362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362C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Bicho</dc:creator>
  <cp:keywords/>
  <dc:description/>
  <cp:lastModifiedBy>Romina</cp:lastModifiedBy>
  <cp:revision>2</cp:revision>
  <dcterms:created xsi:type="dcterms:W3CDTF">2020-05-11T15:16:00Z</dcterms:created>
  <dcterms:modified xsi:type="dcterms:W3CDTF">2020-05-11T15:16:00Z</dcterms:modified>
</cp:coreProperties>
</file>