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863" w:rsidRDefault="00715863" w:rsidP="00D84550">
      <w:pPr>
        <w:jc w:val="right"/>
      </w:pPr>
    </w:p>
    <w:p w:rsidR="00715863" w:rsidRDefault="00715863" w:rsidP="00D84550">
      <w:pPr>
        <w:jc w:val="right"/>
      </w:pPr>
    </w:p>
    <w:p w:rsidR="0006056E" w:rsidRPr="0006056E" w:rsidRDefault="0006056E" w:rsidP="0006056E">
      <w:pPr>
        <w:spacing w:after="0" w:line="360" w:lineRule="auto"/>
        <w:jc w:val="center"/>
        <w:rPr>
          <w:rFonts w:ascii="Arial" w:eastAsia="Times New Roman" w:hAnsi="Arial" w:cs="Arial"/>
          <w:sz w:val="24"/>
          <w:szCs w:val="24"/>
          <w:lang w:eastAsia="es-AR"/>
        </w:rPr>
      </w:pPr>
      <w:r w:rsidRPr="0006056E">
        <w:rPr>
          <w:rFonts w:ascii="Arial" w:eastAsia="Times New Roman" w:hAnsi="Arial" w:cs="Arial"/>
          <w:b/>
          <w:bCs/>
          <w:color w:val="000000"/>
          <w:sz w:val="24"/>
          <w:szCs w:val="24"/>
          <w:lang w:eastAsia="es-AR"/>
        </w:rPr>
        <w:t>FUNDAMENTOS</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b/>
          <w:bCs/>
          <w:color w:val="000000"/>
          <w:sz w:val="24"/>
          <w:szCs w:val="24"/>
          <w:lang w:eastAsia="es-AR"/>
        </w:rPr>
        <w:t>Sra. Presidenta:</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El propósito del presente proyecto de ley deviene de la inusitada expansión del COVID-19, que ha puesto a la mayor parte de los países del mundo frente a enormes desafíos cuyos impactos son aún difíciles de prever, obligando a adoptar medidas atípicas y extraordinarias para enfrentar la pandemia.</w:t>
      </w: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 </w:t>
      </w: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ab/>
        <w:t>Que en este contexto, el DNU 260 del Poder Ejecutivo Nacional, de fecha 12 de marzo del corriente  con el cual se decreta la Emergencia Sanitaria en todo el territorio nacional,  da inicio a una serie de decretos y normativas que se vienen sancionando, tanto a nivel nacional como provincial y municipal, desde los distintos poderes y organismos estatales, que se justifican en el marco de la situación actual.-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Que con fecha 19.03.2020 se ha dictado el Decreto de Necesidad y Urgencia Nº 297/20 que estableció, en su artículo 1ero el “aislamiento social, preventivo y obligatorio” para todas las personas que habitan en el país.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Que debido a la evolución de la situación epidemiológica, la mencionada normativa fue prorrogada en sucesivas oportunidades hasta la fecha;</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 xml:space="preserve">Que, </w:t>
      </w:r>
      <w:r w:rsidRPr="0006056E">
        <w:rPr>
          <w:rFonts w:ascii="Arial" w:eastAsia="Times New Roman" w:hAnsi="Arial" w:cs="Arial"/>
          <w:color w:val="000000"/>
          <w:sz w:val="24"/>
          <w:szCs w:val="24"/>
          <w:lang w:eastAsia="es-AR"/>
        </w:rPr>
        <w:tab/>
        <w:t xml:space="preserve">que en este contexto social de emergencia, los diferentes poderes del estado, tanto provinciales como municipales, se han visto obligadas a dictar profusa </w:t>
      </w:r>
      <w:r w:rsidRPr="0006056E">
        <w:rPr>
          <w:rFonts w:ascii="Arial" w:eastAsia="Times New Roman" w:hAnsi="Arial" w:cs="Arial"/>
          <w:color w:val="000000"/>
          <w:sz w:val="24"/>
          <w:szCs w:val="24"/>
          <w:lang w:eastAsia="es-AR"/>
        </w:rPr>
        <w:lastRenderedPageBreak/>
        <w:t>normativa para dar una solución expedita al funcionamiento de las distintas funciones del estado, produciéndose una importante transformación normativa.</w:t>
      </w:r>
    </w:p>
    <w:p w:rsidR="0006056E" w:rsidRPr="0006056E" w:rsidRDefault="0006056E" w:rsidP="0006056E">
      <w:pPr>
        <w:spacing w:before="240" w:after="240" w:line="360" w:lineRule="auto"/>
        <w:ind w:firstLine="720"/>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En ese sentido se dictan normas en un escenario de excepción, lo que significa que caben restricciones de derechos de los ciudadanos, incluso de derechos fundamentales y libertades públicas, se utilizan mecanismos que no está muy claro cuál es su valor jurídico, por ejemplo, firmas electrónicas en los distintos procesos judiciales, se dictan muchas normas y se hace un uso intensivo de decretos y acordadas.</w:t>
      </w:r>
    </w:p>
    <w:p w:rsidR="0006056E" w:rsidRPr="0006056E" w:rsidRDefault="0006056E" w:rsidP="0006056E">
      <w:pPr>
        <w:spacing w:before="240" w:after="240" w:line="360" w:lineRule="auto"/>
        <w:ind w:firstLine="720"/>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Ante este panorama  no hay que olvidar que los conceptos jurídicos clásicos siguen teniendo total vigencia y que deben ser respetados mientras no se modifiquen por la vía constitucional, por ejemplo, principios como legalidad, irretroactividad de determinadas normas, proporcionalidad y vigencia de las normas.</w:t>
      </w:r>
    </w:p>
    <w:p w:rsidR="0006056E" w:rsidRPr="0006056E" w:rsidRDefault="0006056E" w:rsidP="0006056E">
      <w:pPr>
        <w:spacing w:before="240" w:after="240" w:line="360" w:lineRule="auto"/>
        <w:ind w:firstLine="720"/>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El principio de seguridad jurídica es fundamental, ya que es la principal herramienta que tienen los ciudadanos. </w:t>
      </w:r>
    </w:p>
    <w:p w:rsidR="0006056E" w:rsidRPr="0006056E" w:rsidRDefault="0006056E" w:rsidP="0006056E">
      <w:pPr>
        <w:spacing w:before="240" w:after="240" w:line="360" w:lineRule="auto"/>
        <w:ind w:firstLine="720"/>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Por otra parte no podemos soslayar que las normas han de estar al servicio de los ciudadanos, por lo que, cuanto más claras de comprender y más fáciles de aplicar sean, más justifica la definición de Estado de Derecho que regula nuestra Constitución.</w:t>
      </w: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ab/>
      </w:r>
      <w:proofErr w:type="spellStart"/>
      <w:r w:rsidRPr="0006056E">
        <w:rPr>
          <w:rFonts w:ascii="Arial" w:eastAsia="Times New Roman" w:hAnsi="Arial" w:cs="Arial"/>
          <w:color w:val="000000"/>
          <w:sz w:val="24"/>
          <w:szCs w:val="24"/>
          <w:lang w:eastAsia="es-AR"/>
        </w:rPr>
        <w:t>Que</w:t>
      </w:r>
      <w:proofErr w:type="spellEnd"/>
      <w:r w:rsidRPr="0006056E">
        <w:rPr>
          <w:rFonts w:ascii="Arial" w:eastAsia="Times New Roman" w:hAnsi="Arial" w:cs="Arial"/>
          <w:color w:val="000000"/>
          <w:sz w:val="24"/>
          <w:szCs w:val="24"/>
          <w:lang w:eastAsia="es-AR"/>
        </w:rPr>
        <w:t xml:space="preserve"> asimismo, consideramos que es necesario establecer una fecha de perención de dichas normas, dado que se encuentran afectados y vulnerados derechos fundamentales, lo cual es justificado en estado de Emergencia, pero que no pueden continuar vigentes más allá de la finalización de la misma.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 xml:space="preserve">Lo que pretendemos evitar con este proyecto es que normativas que han surgido en situación de emergencia y de un procedimiento irregular, no dispuestos </w:t>
      </w:r>
      <w:r w:rsidRPr="0006056E">
        <w:rPr>
          <w:rFonts w:ascii="Arial" w:eastAsia="Times New Roman" w:hAnsi="Arial" w:cs="Arial"/>
          <w:color w:val="222222"/>
          <w:sz w:val="24"/>
          <w:szCs w:val="24"/>
          <w:lang w:eastAsia="es-AR"/>
        </w:rPr>
        <w:t>en la ley procesal civil y comercial de la provincia,</w:t>
      </w:r>
      <w:r w:rsidRPr="0006056E">
        <w:rPr>
          <w:rFonts w:ascii="Arial" w:eastAsia="Times New Roman" w:hAnsi="Arial" w:cs="Arial"/>
          <w:color w:val="000000"/>
          <w:sz w:val="24"/>
          <w:szCs w:val="24"/>
          <w:lang w:eastAsia="es-AR"/>
        </w:rPr>
        <w:t xml:space="preserve"> y </w:t>
      </w:r>
      <w:r w:rsidRPr="0006056E">
        <w:rPr>
          <w:rFonts w:ascii="Arial" w:eastAsia="Times New Roman" w:hAnsi="Arial" w:cs="Arial"/>
          <w:color w:val="222222"/>
          <w:sz w:val="24"/>
          <w:szCs w:val="24"/>
          <w:lang w:eastAsia="es-AR"/>
        </w:rPr>
        <w:t xml:space="preserve">"fuera de los caminos </w:t>
      </w:r>
      <w:r w:rsidRPr="0006056E">
        <w:rPr>
          <w:rFonts w:ascii="Arial" w:eastAsia="Times New Roman" w:hAnsi="Arial" w:cs="Arial"/>
          <w:color w:val="222222"/>
          <w:sz w:val="24"/>
          <w:szCs w:val="24"/>
          <w:lang w:eastAsia="es-AR"/>
        </w:rPr>
        <w:lastRenderedPageBreak/>
        <w:t xml:space="preserve">establecidos" </w:t>
      </w:r>
      <w:r w:rsidRPr="0006056E">
        <w:rPr>
          <w:rFonts w:ascii="Arial" w:eastAsia="Times New Roman" w:hAnsi="Arial" w:cs="Arial"/>
          <w:color w:val="000000"/>
          <w:sz w:val="24"/>
          <w:szCs w:val="24"/>
          <w:lang w:eastAsia="es-AR"/>
        </w:rPr>
        <w:t>se tornen en legislación permanente básicamente no respetándose Garantías Constitucionales entre otras la División de Poderes;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ind w:firstLine="708"/>
        <w:jc w:val="both"/>
        <w:rPr>
          <w:rFonts w:ascii="Arial" w:eastAsia="Times New Roman" w:hAnsi="Arial" w:cs="Arial"/>
          <w:sz w:val="24"/>
          <w:szCs w:val="24"/>
          <w:lang w:eastAsia="es-AR"/>
        </w:rPr>
      </w:pPr>
      <w:r w:rsidRPr="0006056E">
        <w:rPr>
          <w:rFonts w:ascii="Arial" w:eastAsia="Times New Roman" w:hAnsi="Arial" w:cs="Arial"/>
          <w:color w:val="222222"/>
          <w:sz w:val="24"/>
          <w:szCs w:val="24"/>
          <w:lang w:eastAsia="es-AR"/>
        </w:rPr>
        <w:t>Que las propuestas de realizar reformas legislativas sobre el servicio de justicia deben acompañarse de un debate sereno y amplio con todos los operadores jurídicos, donde la Abogacía organizada cumple una función vital.</w:t>
      </w:r>
    </w:p>
    <w:p w:rsidR="0006056E" w:rsidRPr="0006056E" w:rsidRDefault="0006056E" w:rsidP="0006056E">
      <w:pPr>
        <w:spacing w:after="24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 </w:t>
      </w:r>
      <w:r w:rsidRPr="0006056E">
        <w:rPr>
          <w:rFonts w:ascii="Arial" w:eastAsia="Times New Roman" w:hAnsi="Arial" w:cs="Arial"/>
          <w:color w:val="000000"/>
          <w:sz w:val="24"/>
          <w:szCs w:val="24"/>
          <w:lang w:eastAsia="es-AR"/>
        </w:rPr>
        <w:tab/>
        <w:t>Por lo que el presente Proyecto de Ley, se sustenta en el reconocimiento integral de los Derechos y Garantías consagrados en la Constitución Nacional, los Tratados Internacionales en los que el Estado Argentino sea parte y la Constitución de la Provincia de Entre Ríos;</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ab/>
        <w:t>Con tales argumentos y los que estamos dispuestos a verter en oportunidad de su tratamiento dejamos fundamentada la iniciativa de ley que antecede, impetrando la consideración favorable de nuestros pares;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b/>
          <w:bCs/>
          <w:color w:val="000000"/>
          <w:sz w:val="24"/>
          <w:szCs w:val="24"/>
          <w:lang w:eastAsia="es-AR"/>
        </w:rPr>
      </w:pPr>
    </w:p>
    <w:p w:rsidR="0006056E" w:rsidRPr="0006056E" w:rsidRDefault="0006056E" w:rsidP="0006056E">
      <w:pPr>
        <w:spacing w:after="0" w:line="360" w:lineRule="auto"/>
        <w:jc w:val="center"/>
        <w:rPr>
          <w:rFonts w:ascii="Arial" w:eastAsia="Times New Roman" w:hAnsi="Arial" w:cs="Arial"/>
          <w:sz w:val="24"/>
          <w:szCs w:val="24"/>
          <w:lang w:eastAsia="es-AR"/>
        </w:rPr>
      </w:pPr>
      <w:r w:rsidRPr="0006056E">
        <w:rPr>
          <w:rFonts w:ascii="Arial" w:eastAsia="Times New Roman" w:hAnsi="Arial" w:cs="Arial"/>
          <w:b/>
          <w:bCs/>
          <w:color w:val="000000"/>
          <w:sz w:val="24"/>
          <w:szCs w:val="24"/>
          <w:lang w:eastAsia="es-AR"/>
        </w:rPr>
        <w:lastRenderedPageBreak/>
        <w:t>LA LEGISLATURA DE LA PROVINCIA DE ENTRE RÍOS SANCIONA CON FUERZA DE LEY;</w:t>
      </w:r>
    </w:p>
    <w:p w:rsidR="0006056E" w:rsidRPr="0006056E" w:rsidRDefault="0006056E" w:rsidP="0006056E">
      <w:pPr>
        <w:spacing w:after="24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b/>
          <w:bCs/>
          <w:color w:val="000000"/>
          <w:sz w:val="24"/>
          <w:szCs w:val="24"/>
          <w:u w:val="single"/>
          <w:lang w:eastAsia="es-AR"/>
        </w:rPr>
        <w:t>Artículo 1°:</w:t>
      </w:r>
      <w:r w:rsidRPr="0006056E">
        <w:rPr>
          <w:rFonts w:ascii="Arial" w:eastAsia="Times New Roman" w:hAnsi="Arial" w:cs="Arial"/>
          <w:color w:val="000000"/>
          <w:sz w:val="24"/>
          <w:szCs w:val="24"/>
          <w:lang w:eastAsia="es-AR"/>
        </w:rPr>
        <w:t xml:space="preserve"> – </w:t>
      </w:r>
      <w:proofErr w:type="spellStart"/>
      <w:r w:rsidRPr="0006056E">
        <w:rPr>
          <w:rFonts w:ascii="Arial" w:eastAsia="Times New Roman" w:hAnsi="Arial" w:cs="Arial"/>
          <w:color w:val="000000"/>
          <w:sz w:val="24"/>
          <w:szCs w:val="24"/>
          <w:lang w:eastAsia="es-AR"/>
        </w:rPr>
        <w:t>Dispónese</w:t>
      </w:r>
      <w:proofErr w:type="spellEnd"/>
      <w:r w:rsidRPr="0006056E">
        <w:rPr>
          <w:rFonts w:ascii="Arial" w:eastAsia="Times New Roman" w:hAnsi="Arial" w:cs="Arial"/>
          <w:color w:val="000000"/>
          <w:sz w:val="24"/>
          <w:szCs w:val="24"/>
          <w:lang w:eastAsia="es-AR"/>
        </w:rPr>
        <w:t xml:space="preserve"> el carácter de trans</w:t>
      </w:r>
      <w:bookmarkStart w:id="0" w:name="_GoBack"/>
      <w:bookmarkEnd w:id="0"/>
      <w:r w:rsidRPr="0006056E">
        <w:rPr>
          <w:rFonts w:ascii="Arial" w:eastAsia="Times New Roman" w:hAnsi="Arial" w:cs="Arial"/>
          <w:color w:val="000000"/>
          <w:sz w:val="24"/>
          <w:szCs w:val="24"/>
          <w:lang w:eastAsia="es-AR"/>
        </w:rPr>
        <w:t>itorio de las normativas provinciales</w:t>
      </w:r>
      <w:r>
        <w:rPr>
          <w:rFonts w:ascii="Arial" w:eastAsia="Times New Roman" w:hAnsi="Arial" w:cs="Arial"/>
          <w:color w:val="000000"/>
          <w:sz w:val="24"/>
          <w:szCs w:val="24"/>
          <w:lang w:eastAsia="es-AR"/>
        </w:rPr>
        <w:t xml:space="preserve"> de los tres poderes del Estado</w:t>
      </w:r>
      <w:r w:rsidRPr="0006056E">
        <w:rPr>
          <w:rFonts w:ascii="Arial" w:eastAsia="Times New Roman" w:hAnsi="Arial" w:cs="Arial"/>
          <w:color w:val="000000"/>
          <w:sz w:val="24"/>
          <w:szCs w:val="24"/>
          <w:lang w:eastAsia="es-AR"/>
        </w:rPr>
        <w:t xml:space="preserve"> y municipales, dictadas en el marco de Emergencia Sanitaria dispuesta por el </w:t>
      </w:r>
      <w:proofErr w:type="spellStart"/>
      <w:r w:rsidRPr="0006056E">
        <w:rPr>
          <w:rFonts w:ascii="Arial" w:eastAsia="Times New Roman" w:hAnsi="Arial" w:cs="Arial"/>
          <w:color w:val="000000"/>
          <w:sz w:val="24"/>
          <w:szCs w:val="24"/>
          <w:lang w:eastAsia="es-AR"/>
        </w:rPr>
        <w:t>Dec</w:t>
      </w:r>
      <w:proofErr w:type="spellEnd"/>
      <w:r w:rsidRPr="0006056E">
        <w:rPr>
          <w:rFonts w:ascii="Arial" w:eastAsia="Times New Roman" w:hAnsi="Arial" w:cs="Arial"/>
          <w:color w:val="000000"/>
          <w:sz w:val="24"/>
          <w:szCs w:val="24"/>
          <w:lang w:eastAsia="es-AR"/>
        </w:rPr>
        <w:t>. 297/20 que se opongan a la legislación provincial vigente.</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color w:val="000000"/>
          <w:sz w:val="24"/>
          <w:szCs w:val="24"/>
          <w:lang w:eastAsia="es-AR"/>
        </w:rPr>
        <w:t> </w:t>
      </w:r>
      <w:r w:rsidRPr="0006056E">
        <w:rPr>
          <w:rFonts w:ascii="Arial" w:eastAsia="Times New Roman" w:hAnsi="Arial" w:cs="Arial"/>
          <w:b/>
          <w:bCs/>
          <w:color w:val="000000"/>
          <w:sz w:val="24"/>
          <w:szCs w:val="24"/>
          <w:u w:val="single"/>
          <w:lang w:eastAsia="es-AR"/>
        </w:rPr>
        <w:t>Artículo 2°:</w:t>
      </w:r>
      <w:r w:rsidRPr="0006056E">
        <w:rPr>
          <w:rFonts w:ascii="Arial" w:eastAsia="Times New Roman" w:hAnsi="Arial" w:cs="Arial"/>
          <w:color w:val="000000"/>
          <w:sz w:val="24"/>
          <w:szCs w:val="24"/>
          <w:lang w:eastAsia="es-AR"/>
        </w:rPr>
        <w:t xml:space="preserve"> Determinase el plazo de treinta (30) días, posteriores al levantamiento del estado de Emergencia Sanitaria, para que se regularicen los procedimientos y se vuelvan a regir por lo dispuesto legislativamente.</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b/>
          <w:bCs/>
          <w:color w:val="000000"/>
          <w:sz w:val="24"/>
          <w:szCs w:val="24"/>
          <w:u w:val="single"/>
          <w:lang w:eastAsia="es-AR"/>
        </w:rPr>
        <w:t>Artículo 3°;</w:t>
      </w:r>
      <w:r w:rsidRPr="0006056E">
        <w:rPr>
          <w:rFonts w:ascii="Arial" w:eastAsia="Times New Roman" w:hAnsi="Arial" w:cs="Arial"/>
          <w:color w:val="000000"/>
          <w:sz w:val="24"/>
          <w:szCs w:val="24"/>
          <w:lang w:eastAsia="es-AR"/>
        </w:rPr>
        <w:t xml:space="preserve"> Establézcase el restablecimiento en todos sus términos de los procedimientos legales y administrativos, al estado previo a la declaración de Emergencia Sanitaria.-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0" w:line="360" w:lineRule="auto"/>
        <w:jc w:val="both"/>
        <w:rPr>
          <w:rFonts w:ascii="Arial" w:eastAsia="Times New Roman" w:hAnsi="Arial" w:cs="Arial"/>
          <w:sz w:val="24"/>
          <w:szCs w:val="24"/>
          <w:lang w:eastAsia="es-AR"/>
        </w:rPr>
      </w:pPr>
      <w:r w:rsidRPr="0006056E">
        <w:rPr>
          <w:rFonts w:ascii="Arial" w:eastAsia="Times New Roman" w:hAnsi="Arial" w:cs="Arial"/>
          <w:b/>
          <w:bCs/>
          <w:color w:val="000000"/>
          <w:sz w:val="24"/>
          <w:szCs w:val="24"/>
          <w:u w:val="single"/>
          <w:lang w:eastAsia="es-AR"/>
        </w:rPr>
        <w:t>Articulo 4</w:t>
      </w:r>
      <w:r w:rsidRPr="0006056E">
        <w:rPr>
          <w:rFonts w:ascii="Arial" w:eastAsia="Times New Roman" w:hAnsi="Arial" w:cs="Arial"/>
          <w:color w:val="000000"/>
          <w:sz w:val="24"/>
          <w:szCs w:val="24"/>
          <w:lang w:eastAsia="es-AR"/>
        </w:rPr>
        <w:t>; Registrar, notificar a las Entidades Profesionales de la Provincia de Entre Ríos y sus Cajas Previsionales, comunicar, dar al Boletín Oficial.-</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160" w:line="360" w:lineRule="auto"/>
        <w:rPr>
          <w:rFonts w:ascii="Arial" w:eastAsia="Times New Roman" w:hAnsi="Arial" w:cs="Arial"/>
          <w:sz w:val="24"/>
          <w:szCs w:val="24"/>
          <w:lang w:eastAsia="es-AR"/>
        </w:rPr>
      </w:pPr>
      <w:proofErr w:type="spellStart"/>
      <w:r w:rsidRPr="0006056E">
        <w:rPr>
          <w:rFonts w:ascii="Arial" w:eastAsia="Times New Roman" w:hAnsi="Arial" w:cs="Arial"/>
          <w:b/>
          <w:bCs/>
          <w:color w:val="000000"/>
          <w:sz w:val="24"/>
          <w:szCs w:val="24"/>
          <w:u w:val="single"/>
          <w:lang w:eastAsia="es-AR"/>
        </w:rPr>
        <w:t>Articulo</w:t>
      </w:r>
      <w:proofErr w:type="spellEnd"/>
      <w:r w:rsidRPr="0006056E">
        <w:rPr>
          <w:rFonts w:ascii="Arial" w:eastAsia="Times New Roman" w:hAnsi="Arial" w:cs="Arial"/>
          <w:b/>
          <w:bCs/>
          <w:color w:val="000000"/>
          <w:sz w:val="24"/>
          <w:szCs w:val="24"/>
          <w:u w:val="single"/>
          <w:lang w:eastAsia="es-AR"/>
        </w:rPr>
        <w:t xml:space="preserve"> 5º;  </w:t>
      </w:r>
      <w:r w:rsidRPr="0006056E">
        <w:rPr>
          <w:rFonts w:ascii="Arial" w:eastAsia="Times New Roman" w:hAnsi="Arial" w:cs="Arial"/>
          <w:color w:val="000000"/>
          <w:sz w:val="24"/>
          <w:szCs w:val="24"/>
          <w:lang w:eastAsia="es-AR"/>
        </w:rPr>
        <w:t>La presente Ley entrará en vigencia el día de su publicación.-. </w:t>
      </w:r>
    </w:p>
    <w:p w:rsidR="0006056E" w:rsidRPr="0006056E" w:rsidRDefault="0006056E" w:rsidP="0006056E">
      <w:pPr>
        <w:spacing w:after="0" w:line="360" w:lineRule="auto"/>
        <w:rPr>
          <w:rFonts w:ascii="Arial" w:eastAsia="Times New Roman" w:hAnsi="Arial" w:cs="Arial"/>
          <w:sz w:val="24"/>
          <w:szCs w:val="24"/>
          <w:lang w:eastAsia="es-AR"/>
        </w:rPr>
      </w:pPr>
    </w:p>
    <w:p w:rsidR="0006056E" w:rsidRPr="0006056E" w:rsidRDefault="0006056E" w:rsidP="0006056E">
      <w:pPr>
        <w:spacing w:after="160" w:line="360" w:lineRule="auto"/>
        <w:rPr>
          <w:rFonts w:ascii="Arial" w:eastAsia="Times New Roman" w:hAnsi="Arial" w:cs="Arial"/>
          <w:sz w:val="24"/>
          <w:szCs w:val="24"/>
          <w:lang w:eastAsia="es-AR"/>
        </w:rPr>
      </w:pPr>
      <w:proofErr w:type="spellStart"/>
      <w:proofErr w:type="gramStart"/>
      <w:r w:rsidRPr="0006056E">
        <w:rPr>
          <w:rFonts w:ascii="Arial" w:eastAsia="Times New Roman" w:hAnsi="Arial" w:cs="Arial"/>
          <w:b/>
          <w:bCs/>
          <w:color w:val="000000"/>
          <w:sz w:val="24"/>
          <w:szCs w:val="24"/>
          <w:u w:val="single"/>
          <w:lang w:eastAsia="es-AR"/>
        </w:rPr>
        <w:t>Articulo</w:t>
      </w:r>
      <w:proofErr w:type="spellEnd"/>
      <w:proofErr w:type="gramEnd"/>
      <w:r w:rsidRPr="0006056E">
        <w:rPr>
          <w:rFonts w:ascii="Arial" w:eastAsia="Times New Roman" w:hAnsi="Arial" w:cs="Arial"/>
          <w:b/>
          <w:bCs/>
          <w:color w:val="000000"/>
          <w:sz w:val="24"/>
          <w:szCs w:val="24"/>
          <w:u w:val="single"/>
          <w:lang w:eastAsia="es-AR"/>
        </w:rPr>
        <w:t xml:space="preserve"> 6º; </w:t>
      </w:r>
      <w:r w:rsidRPr="0006056E">
        <w:rPr>
          <w:rFonts w:ascii="Arial" w:eastAsia="Times New Roman" w:hAnsi="Arial" w:cs="Arial"/>
          <w:color w:val="000000"/>
          <w:sz w:val="24"/>
          <w:szCs w:val="24"/>
          <w:lang w:eastAsia="es-AR"/>
        </w:rPr>
        <w:t xml:space="preserve">Oportunamente, </w:t>
      </w:r>
      <w:proofErr w:type="spellStart"/>
      <w:r w:rsidRPr="0006056E">
        <w:rPr>
          <w:rFonts w:ascii="Arial" w:eastAsia="Times New Roman" w:hAnsi="Arial" w:cs="Arial"/>
          <w:color w:val="000000"/>
          <w:sz w:val="24"/>
          <w:szCs w:val="24"/>
          <w:lang w:eastAsia="es-AR"/>
        </w:rPr>
        <w:t>archivese</w:t>
      </w:r>
      <w:proofErr w:type="spellEnd"/>
      <w:r w:rsidRPr="0006056E">
        <w:rPr>
          <w:rFonts w:ascii="Arial" w:eastAsia="Times New Roman" w:hAnsi="Arial" w:cs="Arial"/>
          <w:color w:val="000000"/>
          <w:sz w:val="24"/>
          <w:szCs w:val="24"/>
          <w:lang w:eastAsia="es-AR"/>
        </w:rPr>
        <w:t>.- </w:t>
      </w:r>
    </w:p>
    <w:p w:rsidR="00D84550" w:rsidRPr="0006056E" w:rsidRDefault="00D84550" w:rsidP="0006056E">
      <w:pPr>
        <w:spacing w:line="360" w:lineRule="auto"/>
        <w:ind w:firstLine="709"/>
        <w:rPr>
          <w:rFonts w:ascii="Arial" w:hAnsi="Arial" w:cs="Arial"/>
          <w:sz w:val="24"/>
          <w:szCs w:val="24"/>
        </w:rPr>
      </w:pPr>
    </w:p>
    <w:sectPr w:rsidR="00D84550" w:rsidRPr="0006056E" w:rsidSect="003B12E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FA3" w:rsidRDefault="00F93FA3">
      <w:pPr>
        <w:spacing w:after="0" w:line="240" w:lineRule="auto"/>
      </w:pPr>
      <w:r>
        <w:separator/>
      </w:r>
    </w:p>
  </w:endnote>
  <w:endnote w:type="continuationSeparator" w:id="0">
    <w:p w:rsidR="00F93FA3" w:rsidRDefault="00F9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FA3" w:rsidRDefault="00F93FA3">
      <w:pPr>
        <w:spacing w:after="0" w:line="240" w:lineRule="auto"/>
      </w:pPr>
      <w:r>
        <w:separator/>
      </w:r>
    </w:p>
  </w:footnote>
  <w:footnote w:type="continuationSeparator" w:id="0">
    <w:p w:rsidR="00F93FA3" w:rsidRDefault="00F9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9A" w:rsidRDefault="00907C24">
    <w:pPr>
      <w:pStyle w:val="Encabezado"/>
    </w:pPr>
    <w:r>
      <w:rPr>
        <w:noProof/>
        <w:lang w:eastAsia="es-AR"/>
      </w:rPr>
      <w:drawing>
        <wp:anchor distT="0" distB="0" distL="114300" distR="114300" simplePos="0" relativeHeight="251659264" behindDoc="0" locked="0" layoutInCell="1" allowOverlap="1" wp14:anchorId="49F67DB1" wp14:editId="1040D488">
          <wp:simplePos x="0" y="0"/>
          <wp:positionH relativeFrom="margin">
            <wp:posOffset>662940</wp:posOffset>
          </wp:positionH>
          <wp:positionV relativeFrom="paragraph">
            <wp:posOffset>-240030</wp:posOffset>
          </wp:positionV>
          <wp:extent cx="638810" cy="819150"/>
          <wp:effectExtent l="19050" t="0" r="8890" b="0"/>
          <wp:wrapSquare wrapText="bothSides"/>
          <wp:docPr id="1" name="Imagen 1" descr="Resultado de imagen para logo provincia de entre 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provincia de entre 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810" cy="819150"/>
                  </a:xfrm>
                  <a:prstGeom prst="rect">
                    <a:avLst/>
                  </a:prstGeom>
                  <a:noFill/>
                  <a:ln>
                    <a:noFill/>
                  </a:ln>
                </pic:spPr>
              </pic:pic>
            </a:graphicData>
          </a:graphic>
        </wp:anchor>
      </w:drawing>
    </w:r>
  </w:p>
  <w:p w:rsidR="0087569A" w:rsidRDefault="00F93FA3">
    <w:pPr>
      <w:pStyle w:val="Encabezado"/>
    </w:pPr>
  </w:p>
  <w:p w:rsidR="0087569A" w:rsidRDefault="00F93FA3">
    <w:pPr>
      <w:pStyle w:val="Encabezado"/>
    </w:pPr>
  </w:p>
  <w:p w:rsidR="0087569A" w:rsidRDefault="00F93FA3">
    <w:pPr>
      <w:pStyle w:val="Encabezado"/>
    </w:pPr>
  </w:p>
  <w:p w:rsidR="0087569A" w:rsidRPr="00DF0D6B" w:rsidRDefault="00907C24" w:rsidP="00DF0D6B">
    <w:pPr>
      <w:pStyle w:val="Encabezado"/>
      <w:spacing w:line="276" w:lineRule="auto"/>
      <w:rPr>
        <w:rFonts w:ascii="Arial" w:hAnsi="Arial" w:cs="Arial"/>
        <w:b/>
        <w:sz w:val="18"/>
        <w:szCs w:val="18"/>
      </w:rPr>
    </w:pPr>
    <w:r w:rsidRPr="00DF0D6B">
      <w:rPr>
        <w:rFonts w:ascii="Arial" w:hAnsi="Arial" w:cs="Arial"/>
        <w:b/>
        <w:sz w:val="18"/>
        <w:szCs w:val="18"/>
      </w:rPr>
      <w:t>HONORABLE CAMARA DE SENADORES</w:t>
    </w:r>
  </w:p>
  <w:p w:rsidR="0087569A" w:rsidRPr="00DF0D6B" w:rsidRDefault="00907C24" w:rsidP="00DF0D6B">
    <w:pPr>
      <w:pStyle w:val="Encabezado"/>
      <w:spacing w:line="276" w:lineRule="auto"/>
      <w:rPr>
        <w:rFonts w:ascii="Arial" w:hAnsi="Arial" w:cs="Arial"/>
        <w:b/>
        <w:sz w:val="18"/>
        <w:szCs w:val="18"/>
      </w:rPr>
    </w:pPr>
    <w:r w:rsidRPr="00DF0D6B">
      <w:rPr>
        <w:rFonts w:ascii="Arial" w:hAnsi="Arial" w:cs="Arial"/>
        <w:b/>
        <w:sz w:val="18"/>
        <w:szCs w:val="18"/>
      </w:rPr>
      <w:t xml:space="preserve">                      ENTRE RIOS</w:t>
    </w:r>
  </w:p>
  <w:p w:rsidR="0087569A" w:rsidRPr="0087569A" w:rsidRDefault="00F93FA3" w:rsidP="00DF0D6B">
    <w:pPr>
      <w:pStyle w:val="Encabezado"/>
      <w:spacing w:line="276" w:lineRule="auto"/>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DC"/>
    <w:rsid w:val="0006056E"/>
    <w:rsid w:val="00252CDC"/>
    <w:rsid w:val="00581D42"/>
    <w:rsid w:val="00715863"/>
    <w:rsid w:val="00907C24"/>
    <w:rsid w:val="00BC2072"/>
    <w:rsid w:val="00D84550"/>
    <w:rsid w:val="00F93F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F69FD-D6A0-4D75-BDC6-C275E3F7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C2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7C24"/>
  </w:style>
  <w:style w:type="paragraph" w:styleId="Textodeglobo">
    <w:name w:val="Balloon Text"/>
    <w:basedOn w:val="Normal"/>
    <w:link w:val="TextodegloboCar"/>
    <w:uiPriority w:val="99"/>
    <w:semiHidden/>
    <w:unhideWhenUsed/>
    <w:rsid w:val="007158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2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cp:lastPrinted>2020-05-20T13:45:00Z</cp:lastPrinted>
  <dcterms:created xsi:type="dcterms:W3CDTF">2020-05-20T13:48:00Z</dcterms:created>
  <dcterms:modified xsi:type="dcterms:W3CDTF">2020-05-20T13:48:00Z</dcterms:modified>
</cp:coreProperties>
</file>