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C9AA4" w14:textId="77777777" w:rsidR="008371AB" w:rsidRDefault="008371AB" w:rsidP="00782494">
      <w:pPr>
        <w:spacing w:line="360" w:lineRule="auto"/>
        <w:jc w:val="both"/>
        <w:rPr>
          <w:rFonts w:ascii="Arial" w:hAnsi="Arial" w:cs="Arial"/>
          <w:b/>
          <w:sz w:val="24"/>
          <w:szCs w:val="24"/>
          <w:lang w:val="es-AR"/>
        </w:rPr>
      </w:pPr>
    </w:p>
    <w:p w14:paraId="436563EA" w14:textId="77777777" w:rsidR="008371AB" w:rsidRDefault="008371AB" w:rsidP="00782494">
      <w:pPr>
        <w:spacing w:line="360" w:lineRule="auto"/>
        <w:jc w:val="both"/>
        <w:rPr>
          <w:rFonts w:ascii="Arial" w:hAnsi="Arial" w:cs="Arial"/>
          <w:b/>
          <w:sz w:val="24"/>
          <w:szCs w:val="24"/>
          <w:lang w:val="es-AR"/>
        </w:rPr>
      </w:pPr>
    </w:p>
    <w:p w14:paraId="23B6D5DC" w14:textId="77777777" w:rsidR="00E47052" w:rsidRPr="00906535" w:rsidRDefault="00906535" w:rsidP="00906535">
      <w:pPr>
        <w:spacing w:line="360" w:lineRule="auto"/>
        <w:jc w:val="center"/>
        <w:rPr>
          <w:rFonts w:ascii="Arial" w:hAnsi="Arial" w:cs="Arial"/>
          <w:b/>
          <w:sz w:val="24"/>
          <w:szCs w:val="24"/>
          <w:u w:val="single"/>
          <w:lang w:val="es-AR"/>
        </w:rPr>
      </w:pPr>
      <w:r w:rsidRPr="00906535">
        <w:rPr>
          <w:rFonts w:ascii="Arial" w:hAnsi="Arial" w:cs="Arial"/>
          <w:b/>
          <w:sz w:val="24"/>
          <w:szCs w:val="24"/>
          <w:u w:val="single"/>
          <w:lang w:val="es-AR"/>
        </w:rPr>
        <w:t>Proyecto de C</w:t>
      </w:r>
      <w:r w:rsidR="005B7961" w:rsidRPr="00906535">
        <w:rPr>
          <w:rFonts w:ascii="Arial" w:hAnsi="Arial" w:cs="Arial"/>
          <w:b/>
          <w:sz w:val="24"/>
          <w:szCs w:val="24"/>
          <w:u w:val="single"/>
          <w:lang w:val="es-AR"/>
        </w:rPr>
        <w:t>omunicación</w:t>
      </w:r>
    </w:p>
    <w:p w14:paraId="38372832" w14:textId="77777777" w:rsidR="005B7961" w:rsidRPr="005B7961" w:rsidRDefault="005B7961" w:rsidP="00782494">
      <w:pPr>
        <w:spacing w:line="360" w:lineRule="auto"/>
        <w:jc w:val="both"/>
        <w:rPr>
          <w:rFonts w:ascii="Arial" w:hAnsi="Arial" w:cs="Arial"/>
          <w:b/>
          <w:sz w:val="24"/>
          <w:szCs w:val="24"/>
          <w:lang w:val="es-AR"/>
        </w:rPr>
      </w:pPr>
      <w:r w:rsidRPr="005B7961">
        <w:rPr>
          <w:rFonts w:ascii="Arial" w:hAnsi="Arial" w:cs="Arial"/>
          <w:b/>
          <w:sz w:val="24"/>
          <w:szCs w:val="24"/>
          <w:lang w:val="es-AR"/>
        </w:rPr>
        <w:t>Fundamentación</w:t>
      </w:r>
    </w:p>
    <w:p w14:paraId="370DE6BF" w14:textId="77777777" w:rsidR="005B7961" w:rsidRDefault="005B7961" w:rsidP="00782494">
      <w:pPr>
        <w:spacing w:line="360" w:lineRule="auto"/>
        <w:jc w:val="both"/>
        <w:rPr>
          <w:rFonts w:ascii="Arial" w:hAnsi="Arial" w:cs="Arial"/>
          <w:sz w:val="24"/>
          <w:szCs w:val="24"/>
          <w:lang w:val="es-AR"/>
        </w:rPr>
      </w:pPr>
      <w:r w:rsidRPr="001F1E45">
        <w:rPr>
          <w:rFonts w:ascii="Arial" w:hAnsi="Arial" w:cs="Arial"/>
          <w:sz w:val="24"/>
          <w:szCs w:val="24"/>
          <w:lang w:val="es-AR"/>
        </w:rPr>
        <w:tab/>
      </w:r>
      <w:r w:rsidR="001F1E45" w:rsidRPr="001F1E45">
        <w:rPr>
          <w:rFonts w:ascii="Arial" w:hAnsi="Arial" w:cs="Arial"/>
          <w:sz w:val="24"/>
          <w:szCs w:val="24"/>
          <w:lang w:val="es-AR"/>
        </w:rPr>
        <w:t>La ley 10027</w:t>
      </w:r>
      <w:r w:rsidR="001F1E45">
        <w:rPr>
          <w:rFonts w:ascii="Arial" w:hAnsi="Arial" w:cs="Arial"/>
          <w:sz w:val="24"/>
          <w:szCs w:val="24"/>
          <w:lang w:val="es-AR"/>
        </w:rPr>
        <w:t xml:space="preserve"> establece en su artículo 2º que “Todo centro de población estable que, en una superficie de setenta y cinco (75) kilómetros cuadrados, contenga más de mil quinientos (1500) habitantes dentro de su ejido constituye un Municipio”. Cifras que el municipio de Pueblo Brugo cumplió, de acuerdo al censo realizado como lo establece la ley 10027 en su artículo 6º que expresa “…el Órgano Ejecutivo mandará demarcar el radio y practicar el censo correspondiente</w:t>
      </w:r>
      <w:r w:rsidR="00B92AC3">
        <w:rPr>
          <w:rFonts w:ascii="Arial" w:hAnsi="Arial" w:cs="Arial"/>
          <w:sz w:val="24"/>
          <w:szCs w:val="24"/>
          <w:lang w:val="es-AR"/>
        </w:rPr>
        <w:t>…” y que por Ley 10663 fue aprobado.</w:t>
      </w:r>
    </w:p>
    <w:p w14:paraId="2B5A0C66" w14:textId="77777777" w:rsidR="00B92AC3" w:rsidRDefault="00B92AC3" w:rsidP="00782494">
      <w:pPr>
        <w:spacing w:line="360" w:lineRule="auto"/>
        <w:jc w:val="both"/>
        <w:rPr>
          <w:rFonts w:ascii="Arial" w:hAnsi="Arial" w:cs="Arial"/>
          <w:sz w:val="24"/>
          <w:szCs w:val="24"/>
          <w:lang w:val="es-AR"/>
        </w:rPr>
      </w:pPr>
      <w:r>
        <w:rPr>
          <w:rFonts w:ascii="Arial" w:hAnsi="Arial" w:cs="Arial"/>
          <w:sz w:val="24"/>
          <w:szCs w:val="24"/>
          <w:lang w:val="es-AR"/>
        </w:rPr>
        <w:tab/>
        <w:t>La realidad muestra, también, como lo indica el decreto Nº 501 del Ministerio de Gobierno y Justicia, “…que los Municipios cuentan con autonomía institucional, política, administrativa, económica y financiera, y que la misma les permite brindar servicios que repercuten en una mejora en la calidad de vida de sus habitantes, fomentando el asiento permanente y arraigo de los mismos e impactando consecuentemente en el crecimiento de las economías locales y la creación de empleos…”.</w:t>
      </w:r>
    </w:p>
    <w:p w14:paraId="389A64D2" w14:textId="77777777" w:rsidR="00B92AC3" w:rsidRDefault="00B92AC3" w:rsidP="00782494">
      <w:pPr>
        <w:spacing w:line="360" w:lineRule="auto"/>
        <w:jc w:val="both"/>
        <w:rPr>
          <w:rFonts w:ascii="Arial" w:hAnsi="Arial" w:cs="Arial"/>
          <w:sz w:val="24"/>
          <w:szCs w:val="24"/>
          <w:lang w:val="es-AR"/>
        </w:rPr>
      </w:pPr>
      <w:r>
        <w:rPr>
          <w:rFonts w:ascii="Arial" w:hAnsi="Arial" w:cs="Arial"/>
          <w:sz w:val="24"/>
          <w:szCs w:val="24"/>
          <w:lang w:val="es-AR"/>
        </w:rPr>
        <w:tab/>
      </w:r>
      <w:r w:rsidR="00076B98">
        <w:rPr>
          <w:rFonts w:ascii="Arial" w:hAnsi="Arial" w:cs="Arial"/>
          <w:sz w:val="24"/>
          <w:szCs w:val="24"/>
          <w:lang w:val="es-AR"/>
        </w:rPr>
        <w:t>Como lo indica la realidad, gran parte de la economía local de Pueblo Brugo está ligada al turismo con la necesidad de contar con servicios fundamentales para el turista que llega.</w:t>
      </w:r>
    </w:p>
    <w:p w14:paraId="161A95DF" w14:textId="77777777" w:rsidR="00076B98" w:rsidRDefault="00076B98" w:rsidP="00782494">
      <w:pPr>
        <w:spacing w:line="360" w:lineRule="auto"/>
        <w:jc w:val="both"/>
        <w:rPr>
          <w:rFonts w:ascii="Arial" w:hAnsi="Arial" w:cs="Arial"/>
          <w:sz w:val="24"/>
          <w:szCs w:val="24"/>
          <w:lang w:val="es-AR"/>
        </w:rPr>
      </w:pPr>
      <w:r>
        <w:rPr>
          <w:rFonts w:ascii="Arial" w:hAnsi="Arial" w:cs="Arial"/>
          <w:sz w:val="24"/>
          <w:szCs w:val="24"/>
          <w:lang w:val="es-AR"/>
        </w:rPr>
        <w:tab/>
        <w:t>Así también, es de vital importancia para los vecinos de Pueblo Brugo, que en su gran mayoría no cuenta con medios móviles para trasladarse a localidades vecinas a realizar trámites, como po</w:t>
      </w:r>
      <w:r w:rsidR="00304966">
        <w:rPr>
          <w:rFonts w:ascii="Arial" w:hAnsi="Arial" w:cs="Arial"/>
          <w:sz w:val="24"/>
          <w:szCs w:val="24"/>
          <w:lang w:val="es-AR"/>
        </w:rPr>
        <w:t>r ejemplo, cobro de sus haberes;</w:t>
      </w:r>
      <w:r>
        <w:rPr>
          <w:rFonts w:ascii="Arial" w:hAnsi="Arial" w:cs="Arial"/>
          <w:sz w:val="24"/>
          <w:szCs w:val="24"/>
          <w:lang w:val="es-AR"/>
        </w:rPr>
        <w:t xml:space="preserve"> el contar con servicios fundamentales</w:t>
      </w:r>
      <w:r w:rsidR="00304966">
        <w:rPr>
          <w:rFonts w:ascii="Arial" w:hAnsi="Arial" w:cs="Arial"/>
          <w:sz w:val="24"/>
          <w:szCs w:val="24"/>
          <w:lang w:val="es-AR"/>
        </w:rPr>
        <w:t xml:space="preserve"> como es un cajero automático</w:t>
      </w:r>
      <w:r w:rsidR="00782494">
        <w:rPr>
          <w:rFonts w:ascii="Arial" w:hAnsi="Arial" w:cs="Arial"/>
          <w:sz w:val="24"/>
          <w:szCs w:val="24"/>
          <w:lang w:val="es-AR"/>
        </w:rPr>
        <w:t>.</w:t>
      </w:r>
      <w:r w:rsidR="00CA212B">
        <w:rPr>
          <w:rFonts w:ascii="Arial" w:hAnsi="Arial" w:cs="Arial"/>
          <w:sz w:val="24"/>
          <w:szCs w:val="24"/>
          <w:lang w:val="es-AR"/>
        </w:rPr>
        <w:t xml:space="preserve"> Lo que favorecería al comercio local al realizar las compras en ellos de parte de los consumidores.</w:t>
      </w:r>
    </w:p>
    <w:p w14:paraId="14F44DBA" w14:textId="77777777" w:rsidR="00782494" w:rsidRDefault="00782494" w:rsidP="00782494">
      <w:pPr>
        <w:jc w:val="both"/>
        <w:rPr>
          <w:rFonts w:ascii="Arial" w:hAnsi="Arial" w:cs="Arial"/>
          <w:sz w:val="24"/>
          <w:szCs w:val="24"/>
          <w:lang w:val="es-AR"/>
        </w:rPr>
      </w:pPr>
      <w:r>
        <w:rPr>
          <w:rFonts w:ascii="Arial" w:hAnsi="Arial" w:cs="Arial"/>
          <w:sz w:val="24"/>
          <w:szCs w:val="24"/>
          <w:lang w:val="es-AR"/>
        </w:rPr>
        <w:br w:type="page"/>
      </w:r>
    </w:p>
    <w:p w14:paraId="7B569782" w14:textId="77777777" w:rsidR="00782494" w:rsidRDefault="00782494" w:rsidP="00782494">
      <w:pPr>
        <w:spacing w:line="360" w:lineRule="auto"/>
        <w:jc w:val="center"/>
        <w:rPr>
          <w:rFonts w:ascii="Arial" w:hAnsi="Arial" w:cs="Arial"/>
          <w:b/>
          <w:sz w:val="24"/>
          <w:szCs w:val="24"/>
          <w:lang w:val="es-AR"/>
        </w:rPr>
      </w:pPr>
      <w:r>
        <w:rPr>
          <w:rFonts w:ascii="Arial" w:hAnsi="Arial" w:cs="Arial"/>
          <w:b/>
          <w:sz w:val="24"/>
          <w:szCs w:val="24"/>
          <w:lang w:val="es-AR"/>
        </w:rPr>
        <w:lastRenderedPageBreak/>
        <w:t>EL HONORABLE SENADO DE LA PROVINCIA DE ENTRE RIOS</w:t>
      </w:r>
    </w:p>
    <w:p w14:paraId="43FF463F" w14:textId="77777777" w:rsidR="00782494" w:rsidRDefault="00782494" w:rsidP="00782494">
      <w:pPr>
        <w:spacing w:line="360" w:lineRule="auto"/>
        <w:jc w:val="center"/>
        <w:rPr>
          <w:rFonts w:ascii="Arial" w:hAnsi="Arial" w:cs="Arial"/>
          <w:b/>
          <w:sz w:val="24"/>
          <w:szCs w:val="24"/>
          <w:lang w:val="es-AR"/>
        </w:rPr>
      </w:pPr>
      <w:r>
        <w:rPr>
          <w:rFonts w:ascii="Arial" w:hAnsi="Arial" w:cs="Arial"/>
          <w:b/>
          <w:sz w:val="24"/>
          <w:szCs w:val="24"/>
          <w:lang w:val="es-AR"/>
        </w:rPr>
        <w:t>COMUNICA:</w:t>
      </w:r>
    </w:p>
    <w:p w14:paraId="3336A7A5" w14:textId="77777777" w:rsidR="00782494" w:rsidRDefault="00782494" w:rsidP="00782494">
      <w:pPr>
        <w:spacing w:line="360" w:lineRule="auto"/>
        <w:jc w:val="both"/>
        <w:rPr>
          <w:rFonts w:ascii="Arial" w:hAnsi="Arial" w:cs="Arial"/>
          <w:sz w:val="24"/>
          <w:szCs w:val="24"/>
          <w:lang w:val="es-AR"/>
        </w:rPr>
      </w:pPr>
      <w:r>
        <w:rPr>
          <w:rFonts w:ascii="Arial" w:hAnsi="Arial" w:cs="Arial"/>
          <w:sz w:val="24"/>
          <w:szCs w:val="24"/>
          <w:lang w:val="es-AR"/>
        </w:rPr>
        <w:t>Vería con agrado que el P</w:t>
      </w:r>
      <w:r w:rsidRPr="00782494">
        <w:rPr>
          <w:rFonts w:ascii="Arial" w:hAnsi="Arial" w:cs="Arial"/>
          <w:sz w:val="24"/>
          <w:szCs w:val="24"/>
          <w:lang w:val="es-AR"/>
        </w:rPr>
        <w:t>oder</w:t>
      </w:r>
      <w:r>
        <w:rPr>
          <w:rFonts w:ascii="Arial" w:hAnsi="Arial" w:cs="Arial"/>
          <w:sz w:val="24"/>
          <w:szCs w:val="24"/>
          <w:lang w:val="es-AR"/>
        </w:rPr>
        <w:t xml:space="preserve"> Ejecutivo Provincial inste al Sr. Presidente del Directorio del Nuevo BERSA a fin de que disponga instalar un cajero automático en el Municipio de Pueblo Brugo del Departamento Paraná y para el cual el municipio cuenta con el inmueble donde instalarlo.</w:t>
      </w:r>
    </w:p>
    <w:p w14:paraId="52CA26BA" w14:textId="77777777" w:rsidR="00447636" w:rsidRDefault="00447636" w:rsidP="00782494">
      <w:pPr>
        <w:spacing w:line="360" w:lineRule="auto"/>
        <w:jc w:val="both"/>
        <w:rPr>
          <w:rFonts w:ascii="Arial" w:hAnsi="Arial" w:cs="Arial"/>
          <w:sz w:val="24"/>
          <w:szCs w:val="24"/>
          <w:lang w:val="es-AR"/>
        </w:rPr>
      </w:pPr>
    </w:p>
    <w:p w14:paraId="303C99D8" w14:textId="77777777" w:rsidR="00447636" w:rsidRDefault="00447636" w:rsidP="00782494">
      <w:pPr>
        <w:spacing w:line="360" w:lineRule="auto"/>
        <w:jc w:val="both"/>
        <w:rPr>
          <w:rFonts w:ascii="Arial" w:hAnsi="Arial" w:cs="Arial"/>
          <w:sz w:val="24"/>
          <w:szCs w:val="24"/>
          <w:lang w:val="es-AR"/>
        </w:rPr>
      </w:pPr>
    </w:p>
    <w:p w14:paraId="1FE6B901" w14:textId="77777777" w:rsidR="00447636" w:rsidRDefault="00447636" w:rsidP="00447636"/>
    <w:p w14:paraId="7154246A" w14:textId="77777777" w:rsidR="00447636" w:rsidRDefault="00447636" w:rsidP="00447636">
      <w:pPr>
        <w:jc w:val="right"/>
        <w:rPr>
          <w:rFonts w:ascii="Arial" w:hAnsi="Arial" w:cs="Arial"/>
          <w:sz w:val="24"/>
          <w:szCs w:val="24"/>
        </w:rPr>
      </w:pPr>
      <w:r>
        <w:rPr>
          <w:rFonts w:ascii="Arial" w:hAnsi="Arial" w:cs="Arial"/>
          <w:sz w:val="24"/>
          <w:szCs w:val="24"/>
        </w:rPr>
        <w:t>Juan Carlos Kloss</w:t>
      </w:r>
    </w:p>
    <w:p w14:paraId="4405FA88" w14:textId="77777777" w:rsidR="00447636" w:rsidRPr="00464C44" w:rsidRDefault="00447636" w:rsidP="00447636">
      <w:pPr>
        <w:jc w:val="right"/>
        <w:rPr>
          <w:rFonts w:ascii="Arial" w:hAnsi="Arial" w:cs="Arial"/>
          <w:sz w:val="24"/>
          <w:szCs w:val="24"/>
        </w:rPr>
      </w:pPr>
      <w:r>
        <w:rPr>
          <w:rFonts w:ascii="Arial" w:hAnsi="Arial" w:cs="Arial"/>
          <w:sz w:val="24"/>
          <w:szCs w:val="24"/>
        </w:rPr>
        <w:t>Senador Dpto. Paraná</w:t>
      </w:r>
    </w:p>
    <w:p w14:paraId="34690F58" w14:textId="77777777" w:rsidR="00447636" w:rsidRPr="00782494" w:rsidRDefault="00447636" w:rsidP="00447636">
      <w:pPr>
        <w:spacing w:line="360" w:lineRule="auto"/>
        <w:jc w:val="right"/>
        <w:rPr>
          <w:rFonts w:ascii="Arial" w:hAnsi="Arial" w:cs="Arial"/>
          <w:sz w:val="24"/>
          <w:szCs w:val="24"/>
          <w:lang w:val="es-AR"/>
        </w:rPr>
      </w:pPr>
    </w:p>
    <w:sectPr w:rsidR="00447636" w:rsidRPr="007824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61"/>
    <w:rsid w:val="00076B98"/>
    <w:rsid w:val="001037C8"/>
    <w:rsid w:val="001F1E45"/>
    <w:rsid w:val="00304966"/>
    <w:rsid w:val="00355B9D"/>
    <w:rsid w:val="00447636"/>
    <w:rsid w:val="005B7961"/>
    <w:rsid w:val="00746754"/>
    <w:rsid w:val="00782494"/>
    <w:rsid w:val="008371AB"/>
    <w:rsid w:val="00906535"/>
    <w:rsid w:val="00B92AC3"/>
    <w:rsid w:val="00CA212B"/>
    <w:rsid w:val="00F07C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0B47"/>
  <w15:chartTrackingRefBased/>
  <w15:docId w15:val="{B5665D31-4F5A-4502-B159-63F531AC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1686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Romina Nicola</cp:lastModifiedBy>
  <cp:revision>2</cp:revision>
  <dcterms:created xsi:type="dcterms:W3CDTF">2020-06-04T13:55:00Z</dcterms:created>
  <dcterms:modified xsi:type="dcterms:W3CDTF">2020-06-04T13:55:00Z</dcterms:modified>
</cp:coreProperties>
</file>