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5732D" w:rsidRDefault="0005732D">
      <w:pPr>
        <w:spacing w:line="48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2" w14:textId="77777777" w:rsidR="0005732D" w:rsidRDefault="0001666C">
      <w:pPr>
        <w:spacing w:line="480" w:lineRule="auto"/>
        <w:ind w:right="-220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LA LEGISLATURA DE LA PROVINCIA DE ENTRE RÍOS</w:t>
      </w:r>
    </w:p>
    <w:p w14:paraId="00000003" w14:textId="77777777" w:rsidR="0005732D" w:rsidRDefault="0001666C">
      <w:pPr>
        <w:spacing w:line="480" w:lineRule="auto"/>
        <w:jc w:val="center"/>
        <w:rPr>
          <w:rFonts w:ascii="Arial" w:eastAsia="Arial" w:hAnsi="Arial" w:cs="Arial"/>
          <w:b/>
          <w:i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SANCIONA CON FUERZA DE LEY:</w:t>
      </w:r>
    </w:p>
    <w:p w14:paraId="00000004" w14:textId="77777777" w:rsidR="0005732D" w:rsidRDefault="0001666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1°.-</w:t>
      </w:r>
      <w:r>
        <w:rPr>
          <w:rFonts w:ascii="Arial" w:eastAsia="Arial" w:hAnsi="Arial" w:cs="Arial"/>
          <w:sz w:val="24"/>
          <w:szCs w:val="24"/>
        </w:rPr>
        <w:t xml:space="preserve">  A través de las áreas respectivas, proceda a emplazar en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espacios públicos o en lugares de alta circulación de personas en cualquier punto del territorio provincial, </w:t>
      </w:r>
      <w:r>
        <w:rPr>
          <w:rFonts w:ascii="Arial" w:eastAsia="Arial" w:hAnsi="Arial" w:cs="Arial"/>
          <w:sz w:val="24"/>
          <w:szCs w:val="24"/>
        </w:rPr>
        <w:t>el denominado “Banco Rojo” en recuerdo de las víctimas de los femicidios ocurridos en nuestra provincia con la Leyenda “En memoria de todas las muj</w:t>
      </w:r>
      <w:r>
        <w:rPr>
          <w:rFonts w:ascii="Arial" w:eastAsia="Arial" w:hAnsi="Arial" w:cs="Arial"/>
          <w:sz w:val="24"/>
          <w:szCs w:val="24"/>
        </w:rPr>
        <w:t>eres asesinadas por quienes dicen amarlas”.</w:t>
      </w:r>
    </w:p>
    <w:p w14:paraId="00000005" w14:textId="77777777" w:rsidR="0005732D" w:rsidRDefault="0001666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2°.-</w:t>
      </w:r>
      <w:r>
        <w:rPr>
          <w:rFonts w:ascii="Arial" w:eastAsia="Arial" w:hAnsi="Arial" w:cs="Arial"/>
          <w:sz w:val="24"/>
          <w:szCs w:val="24"/>
        </w:rPr>
        <w:t xml:space="preserve"> Se realice un acto de inauguración del mismo en el cual se recuerde a las víctimas y se concientice al respecto. </w:t>
      </w:r>
    </w:p>
    <w:p w14:paraId="00000006" w14:textId="77777777" w:rsidR="0005732D" w:rsidRDefault="0001666C">
      <w:pPr>
        <w:shd w:val="clear" w:color="auto" w:fill="FFFFFF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3°.-</w:t>
      </w:r>
      <w:r>
        <w:rPr>
          <w:rFonts w:ascii="Arial" w:eastAsia="Arial" w:hAnsi="Arial" w:cs="Arial"/>
          <w:sz w:val="24"/>
          <w:szCs w:val="24"/>
        </w:rPr>
        <w:t xml:space="preserve"> Se realicen talleres, charlas, y mesas de informes, entre otras activi</w:t>
      </w:r>
      <w:r>
        <w:rPr>
          <w:rFonts w:ascii="Arial" w:eastAsia="Arial" w:hAnsi="Arial" w:cs="Arial"/>
          <w:sz w:val="24"/>
          <w:szCs w:val="24"/>
        </w:rPr>
        <w:t>dades.</w:t>
      </w:r>
    </w:p>
    <w:p w14:paraId="00000007" w14:textId="77777777" w:rsidR="0005732D" w:rsidRDefault="0001666C">
      <w:pPr>
        <w:shd w:val="clear" w:color="auto" w:fill="FFFFFF"/>
        <w:spacing w:after="0"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4°.-</w:t>
      </w:r>
      <w:r>
        <w:rPr>
          <w:rFonts w:ascii="Arial" w:eastAsia="Arial" w:hAnsi="Arial" w:cs="Arial"/>
          <w:color w:val="454246"/>
          <w:sz w:val="24"/>
          <w:szCs w:val="24"/>
          <w:highlight w:val="white"/>
        </w:rPr>
        <w:t> </w:t>
      </w:r>
      <w:r>
        <w:rPr>
          <w:rFonts w:ascii="Arial" w:eastAsia="Arial" w:hAnsi="Arial" w:cs="Arial"/>
          <w:sz w:val="24"/>
          <w:szCs w:val="24"/>
          <w:highlight w:val="white"/>
        </w:rPr>
        <w:t>Se dé a conocer ampliamente la línea telefónica nacional Nº 144 destinada a brindar información, orientación, asesoramiento y contención para mujeres en situación de violencia, que funciona las 24 horas los 365 días del año, y de maner</w:t>
      </w:r>
      <w:r>
        <w:rPr>
          <w:rFonts w:ascii="Arial" w:eastAsia="Arial" w:hAnsi="Arial" w:cs="Arial"/>
          <w:sz w:val="24"/>
          <w:szCs w:val="24"/>
          <w:highlight w:val="white"/>
        </w:rPr>
        <w:t>a gratuita.</w:t>
      </w:r>
    </w:p>
    <w:p w14:paraId="00000008" w14:textId="77777777" w:rsidR="0005732D" w:rsidRDefault="0001666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5°.-</w:t>
      </w:r>
      <w:r>
        <w:rPr>
          <w:rFonts w:ascii="Arial" w:eastAsia="Arial" w:hAnsi="Arial" w:cs="Arial"/>
          <w:sz w:val="24"/>
          <w:szCs w:val="24"/>
        </w:rPr>
        <w:t xml:space="preserve"> Se comunique la presente ley a la totalidad de los municipios y comunas de la provincia a efectos de que si así lo desean dicten sus respectivas ordenanzas adhiriendo a la presente ley.</w:t>
      </w:r>
    </w:p>
    <w:p w14:paraId="00000009" w14:textId="77777777" w:rsidR="0005732D" w:rsidRDefault="0001666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6°.-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>Comuníquese.</w:t>
      </w:r>
    </w:p>
    <w:p w14:paraId="0000000A" w14:textId="77777777" w:rsidR="0005732D" w:rsidRDefault="0005732D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000000B" w14:textId="77777777" w:rsidR="0005732D" w:rsidRDefault="0001666C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FUNDAMENTOS: </w:t>
      </w:r>
    </w:p>
    <w:p w14:paraId="0000000C" w14:textId="77777777" w:rsidR="0005732D" w:rsidRDefault="0001666C">
      <w:pPr>
        <w:spacing w:line="48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Se</w:t>
      </w:r>
      <w:r>
        <w:rPr>
          <w:rFonts w:ascii="Arial" w:eastAsia="Arial" w:hAnsi="Arial" w:cs="Arial"/>
          <w:sz w:val="24"/>
          <w:szCs w:val="24"/>
        </w:rPr>
        <w:t>ñora presidente:</w:t>
      </w:r>
    </w:p>
    <w:p w14:paraId="0000000D" w14:textId="77777777" w:rsidR="0005732D" w:rsidRDefault="0001666C">
      <w:pPr>
        <w:spacing w:line="480" w:lineRule="auto"/>
        <w:ind w:firstLine="184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En nuestra provincia tristemente hemos tenido muchos casos de femicidios, el reciente de Fátima Florencia Acevedo.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A nivel Internacional se lleva a cabo la campaña de puesta en lugares públicos “Bancos Rojos” como símbolo de lucha contra l</w:t>
      </w:r>
      <w:r>
        <w:rPr>
          <w:rFonts w:ascii="Arial" w:eastAsia="Arial" w:hAnsi="Arial" w:cs="Arial"/>
          <w:sz w:val="24"/>
          <w:szCs w:val="24"/>
          <w:highlight w:val="white"/>
        </w:rPr>
        <w:t>os femicidios y la violencia de género. La propuesta de este proyecto de ley del denominado “Banco Rojo” es una iniciativa cultural y pacífica de prevención, información y sensibilización contra esta grave problemática.</w:t>
      </w:r>
    </w:p>
    <w:p w14:paraId="0000000E" w14:textId="77777777" w:rsidR="0005732D" w:rsidRDefault="0001666C">
      <w:pPr>
        <w:spacing w:line="480" w:lineRule="auto"/>
        <w:ind w:firstLine="1842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Tiene por objetivo que quien lo vea,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reflexione sobre las numerosas víctimas que han sufrido violencia y se tome conciencia de que los desenlaces fatales son evitables si se hace algo a tiempo. La acción principal de la campaña consiste en la colocación de un banco rojo en espacios públicos </w:t>
      </w:r>
      <w:r>
        <w:rPr>
          <w:rFonts w:ascii="Arial" w:eastAsia="Arial" w:hAnsi="Arial" w:cs="Arial"/>
          <w:sz w:val="24"/>
          <w:szCs w:val="24"/>
          <w:highlight w:val="white"/>
        </w:rPr>
        <w:t>o en lugares de alta circulación de personas que incluya una frase que invite a reflexionar sobre la violencia de género y en particular sobre los femicidios, además se suele incluir en los bancos los números de teléfonos de asistencia a mujeres víctimas d</w:t>
      </w:r>
      <w:r>
        <w:rPr>
          <w:rFonts w:ascii="Arial" w:eastAsia="Arial" w:hAnsi="Arial" w:cs="Arial"/>
          <w:sz w:val="24"/>
          <w:szCs w:val="24"/>
          <w:highlight w:val="white"/>
        </w:rPr>
        <w:t>e la violencia de género de cada jurisdicción y los datos de la línea nacional número 144 de atención para mujeres en situación de violencia.</w:t>
      </w:r>
    </w:p>
    <w:p w14:paraId="0000000F" w14:textId="77777777" w:rsidR="0005732D" w:rsidRDefault="0001666C">
      <w:pPr>
        <w:spacing w:line="480" w:lineRule="auto"/>
        <w:ind w:firstLine="18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El proyecto del banco rojo nació en el año 2016 en Italia, más precisamente en Lomello, una pequeña ciudad del nor</w:t>
      </w:r>
      <w:r>
        <w:rPr>
          <w:rFonts w:ascii="Arial" w:eastAsia="Arial" w:hAnsi="Arial" w:cs="Arial"/>
          <w:sz w:val="24"/>
          <w:szCs w:val="24"/>
          <w:highlight w:val="white"/>
        </w:rPr>
        <w:t>oeste Italiano. Allí fue la activista Italiana Tina Magenta quien impulsó la iniciativa de pintar los bancos rojos como una manera de sensibilizar sobre los femicidios y la problemática de la violencia de género, Tina inauguró el primer banco rojo en el añ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o 2016 en una de las arterias principales de su ciudad. </w:t>
      </w:r>
      <w:r>
        <w:rPr>
          <w:rFonts w:ascii="Arial" w:eastAsia="Arial" w:hAnsi="Arial" w:cs="Arial"/>
          <w:sz w:val="24"/>
          <w:szCs w:val="24"/>
        </w:rPr>
        <w:t>El color rojo está tomado del primer símbolo utilizado para demostrar públicamente la violencia contra las mujeres, con muchos zapatos rojos, presentados ante la embajada de México en 2012 para record</w:t>
      </w:r>
      <w:r>
        <w:rPr>
          <w:rFonts w:ascii="Arial" w:eastAsia="Arial" w:hAnsi="Arial" w:cs="Arial"/>
          <w:sz w:val="24"/>
          <w:szCs w:val="24"/>
        </w:rPr>
        <w:t xml:space="preserve">ar a las mujeres asesinadas en Ciudad Juárez, usando el color rojo para representar la sangre derramada de las víctimas. </w:t>
      </w:r>
    </w:p>
    <w:p w14:paraId="00000010" w14:textId="77777777" w:rsidR="0005732D" w:rsidRDefault="0001666C">
      <w:pPr>
        <w:spacing w:line="480" w:lineRule="auto"/>
        <w:ind w:firstLine="184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Por los motivos expuestos y considerando el impacto e importancia de la colocación de un banco rojo </w:t>
      </w:r>
      <w:r>
        <w:rPr>
          <w:rFonts w:ascii="Arial" w:eastAsia="Arial" w:hAnsi="Arial" w:cs="Arial"/>
          <w:sz w:val="24"/>
          <w:szCs w:val="24"/>
          <w:highlight w:val="white"/>
        </w:rPr>
        <w:t>en espacios públicos o en lugares de alta circulación de personas en cualquier punto del territorio provincial, es que sugiero la aprobación del presente proyecto de ley.-</w:t>
      </w:r>
    </w:p>
    <w:p w14:paraId="00000011" w14:textId="77777777" w:rsidR="0005732D" w:rsidRDefault="0005732D">
      <w:pPr>
        <w:tabs>
          <w:tab w:val="left" w:pos="3225"/>
        </w:tabs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00000012" w14:textId="77777777" w:rsidR="0005732D" w:rsidRDefault="0005732D">
      <w:pPr>
        <w:tabs>
          <w:tab w:val="left" w:pos="3225"/>
        </w:tabs>
        <w:spacing w:line="480" w:lineRule="auto"/>
        <w:rPr>
          <w:rFonts w:ascii="Arial" w:eastAsia="Arial" w:hAnsi="Arial" w:cs="Arial"/>
          <w:sz w:val="24"/>
          <w:szCs w:val="24"/>
        </w:rPr>
      </w:pPr>
    </w:p>
    <w:p w14:paraId="00000013" w14:textId="77777777" w:rsidR="0005732D" w:rsidRDefault="0005732D">
      <w:pPr>
        <w:tabs>
          <w:tab w:val="left" w:pos="3225"/>
        </w:tabs>
        <w:rPr>
          <w:sz w:val="24"/>
          <w:szCs w:val="24"/>
        </w:rPr>
      </w:pPr>
    </w:p>
    <w:sectPr w:rsidR="0005732D">
      <w:headerReference w:type="default" r:id="rId6"/>
      <w:pgSz w:w="12240" w:h="15840"/>
      <w:pgMar w:top="1418" w:right="1474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53935" w14:textId="77777777" w:rsidR="0001666C" w:rsidRDefault="0001666C">
      <w:pPr>
        <w:spacing w:after="0" w:line="240" w:lineRule="auto"/>
      </w:pPr>
      <w:r>
        <w:separator/>
      </w:r>
    </w:p>
  </w:endnote>
  <w:endnote w:type="continuationSeparator" w:id="0">
    <w:p w14:paraId="6059054A" w14:textId="77777777" w:rsidR="0001666C" w:rsidRDefault="00016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5CDF6" w14:textId="77777777" w:rsidR="0001666C" w:rsidRDefault="0001666C">
      <w:pPr>
        <w:spacing w:after="0" w:line="240" w:lineRule="auto"/>
      </w:pPr>
      <w:r>
        <w:separator/>
      </w:r>
    </w:p>
  </w:footnote>
  <w:footnote w:type="continuationSeparator" w:id="0">
    <w:p w14:paraId="3EDE6BC6" w14:textId="77777777" w:rsidR="0001666C" w:rsidRDefault="00016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14" w14:textId="77777777" w:rsidR="0005732D" w:rsidRDefault="000573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2D"/>
    <w:rsid w:val="0001666C"/>
    <w:rsid w:val="0005732D"/>
    <w:rsid w:val="000D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8669E6-2083-4408-BD5C-85B59B28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</dc:creator>
  <cp:lastModifiedBy>Romina Nicola</cp:lastModifiedBy>
  <cp:revision>2</cp:revision>
  <dcterms:created xsi:type="dcterms:W3CDTF">2020-06-08T15:28:00Z</dcterms:created>
  <dcterms:modified xsi:type="dcterms:W3CDTF">2020-06-08T15:28:00Z</dcterms:modified>
</cp:coreProperties>
</file>