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DE3F" w14:textId="77777777" w:rsidR="00FE36F7" w:rsidRDefault="0045586D" w:rsidP="00150071">
      <w:pPr>
        <w:autoSpaceDE w:val="0"/>
        <w:autoSpaceDN w:val="0"/>
        <w:adjustRightInd w:val="0"/>
        <w:jc w:val="center"/>
        <w:rPr>
          <w:rFonts w:ascii="Arial" w:hAnsi="Arial" w:cs="Arial"/>
          <w:b/>
          <w:bCs/>
          <w:szCs w:val="22"/>
        </w:rPr>
      </w:pPr>
      <w:r w:rsidRPr="0045586D">
        <w:rPr>
          <w:rFonts w:ascii="Arial" w:hAnsi="Arial" w:cs="Arial"/>
          <w:b/>
          <w:bCs/>
          <w:szCs w:val="22"/>
        </w:rPr>
        <w:t>PROYECTO DE LEY</w:t>
      </w:r>
    </w:p>
    <w:p w14:paraId="1619033C" w14:textId="77777777" w:rsidR="00FF39F4" w:rsidRPr="0045586D" w:rsidRDefault="00FF39F4" w:rsidP="00150071">
      <w:pPr>
        <w:autoSpaceDE w:val="0"/>
        <w:autoSpaceDN w:val="0"/>
        <w:adjustRightInd w:val="0"/>
        <w:jc w:val="center"/>
        <w:rPr>
          <w:rFonts w:ascii="Arial" w:hAnsi="Arial" w:cs="Arial"/>
          <w:b/>
          <w:bCs/>
          <w:szCs w:val="22"/>
        </w:rPr>
      </w:pPr>
      <w:r>
        <w:rPr>
          <w:rFonts w:ascii="Arial" w:hAnsi="Arial" w:cs="Arial"/>
          <w:b/>
          <w:bCs/>
          <w:szCs w:val="22"/>
        </w:rPr>
        <w:t>DECLARACION DE EMERGENCIA ECONOMICA DEL SECTOR TURISMO</w:t>
      </w:r>
    </w:p>
    <w:p w14:paraId="589DE14C" w14:textId="77777777" w:rsidR="0045586D" w:rsidRPr="0045586D" w:rsidRDefault="0045586D" w:rsidP="0045586D">
      <w:pPr>
        <w:autoSpaceDE w:val="0"/>
        <w:autoSpaceDN w:val="0"/>
        <w:adjustRightInd w:val="0"/>
        <w:ind w:firstLine="1134"/>
        <w:jc w:val="both"/>
        <w:rPr>
          <w:rFonts w:ascii="Arial" w:hAnsi="Arial" w:cs="Arial"/>
          <w:b/>
          <w:bCs/>
          <w:szCs w:val="22"/>
        </w:rPr>
      </w:pPr>
    </w:p>
    <w:p w14:paraId="3BD90BE8" w14:textId="77777777" w:rsidR="00150071" w:rsidRDefault="00150071" w:rsidP="0045586D">
      <w:pPr>
        <w:autoSpaceDE w:val="0"/>
        <w:autoSpaceDN w:val="0"/>
        <w:adjustRightInd w:val="0"/>
        <w:rPr>
          <w:rFonts w:ascii="Arial" w:hAnsi="Arial" w:cs="Arial"/>
          <w:b/>
          <w:bCs/>
          <w:szCs w:val="22"/>
        </w:rPr>
      </w:pPr>
    </w:p>
    <w:p w14:paraId="10AAA152" w14:textId="77777777" w:rsidR="0045586D" w:rsidRPr="0045586D" w:rsidRDefault="0045586D" w:rsidP="0045586D">
      <w:pPr>
        <w:autoSpaceDE w:val="0"/>
        <w:autoSpaceDN w:val="0"/>
        <w:adjustRightInd w:val="0"/>
        <w:rPr>
          <w:rFonts w:ascii="Arial" w:hAnsi="Arial" w:cs="Arial"/>
          <w:b/>
          <w:bCs/>
          <w:szCs w:val="22"/>
        </w:rPr>
      </w:pPr>
      <w:r w:rsidRPr="0045586D">
        <w:rPr>
          <w:rFonts w:ascii="Arial" w:hAnsi="Arial" w:cs="Arial"/>
          <w:b/>
          <w:bCs/>
          <w:szCs w:val="22"/>
        </w:rPr>
        <w:t>Fundamentos:</w:t>
      </w:r>
    </w:p>
    <w:p w14:paraId="7CFB78B0" w14:textId="77777777" w:rsidR="0045586D" w:rsidRPr="0045586D" w:rsidRDefault="0045586D" w:rsidP="0045586D">
      <w:pPr>
        <w:autoSpaceDE w:val="0"/>
        <w:autoSpaceDN w:val="0"/>
        <w:adjustRightInd w:val="0"/>
        <w:rPr>
          <w:rFonts w:ascii="Arial" w:hAnsi="Arial" w:cs="Arial"/>
          <w:b/>
          <w:bCs/>
          <w:szCs w:val="22"/>
        </w:rPr>
      </w:pPr>
    </w:p>
    <w:p w14:paraId="5651F717" w14:textId="77777777" w:rsidR="0045586D" w:rsidRDefault="0045586D" w:rsidP="0045586D">
      <w:pPr>
        <w:autoSpaceDE w:val="0"/>
        <w:autoSpaceDN w:val="0"/>
        <w:adjustRightInd w:val="0"/>
        <w:rPr>
          <w:rFonts w:ascii="Arial" w:hAnsi="Arial" w:cs="Arial"/>
          <w:bCs/>
          <w:szCs w:val="22"/>
        </w:rPr>
      </w:pPr>
      <w:r>
        <w:rPr>
          <w:rFonts w:ascii="Arial" w:hAnsi="Arial" w:cs="Arial"/>
          <w:bCs/>
          <w:szCs w:val="22"/>
        </w:rPr>
        <w:t>Las medidas adoptadas por el Gobierno Nacional con adhesión de Gobiernos Provinciales y Municipales como política sanitaria en el marco de evitar contagios y la propagación del COVID 19, tuvo un impacto significativo en todo el entramado económico.</w:t>
      </w:r>
    </w:p>
    <w:p w14:paraId="218110A3" w14:textId="77777777" w:rsidR="0045586D" w:rsidRDefault="0045586D" w:rsidP="0045586D">
      <w:pPr>
        <w:autoSpaceDE w:val="0"/>
        <w:autoSpaceDN w:val="0"/>
        <w:adjustRightInd w:val="0"/>
        <w:rPr>
          <w:rFonts w:ascii="Arial" w:hAnsi="Arial" w:cs="Arial"/>
          <w:bCs/>
          <w:szCs w:val="22"/>
        </w:rPr>
      </w:pPr>
    </w:p>
    <w:p w14:paraId="6F680A8A" w14:textId="77777777" w:rsidR="0045586D" w:rsidRDefault="0045586D" w:rsidP="0045586D">
      <w:pPr>
        <w:autoSpaceDE w:val="0"/>
        <w:autoSpaceDN w:val="0"/>
        <w:adjustRightInd w:val="0"/>
        <w:rPr>
          <w:rFonts w:ascii="Arial" w:hAnsi="Arial" w:cs="Arial"/>
          <w:bCs/>
          <w:szCs w:val="22"/>
        </w:rPr>
      </w:pPr>
      <w:r>
        <w:rPr>
          <w:rFonts w:ascii="Arial" w:hAnsi="Arial" w:cs="Arial"/>
          <w:bCs/>
          <w:szCs w:val="22"/>
        </w:rPr>
        <w:t>El turismo fue, desde la prohibición de circulación e ingresos de personas, una de las actividades económicas más afectadas. Será también una de las más difíciles de volver a la normalidad de su desenvolvimiento. Aqueja a toda la cadena de valor del sector, desde la</w:t>
      </w:r>
      <w:r w:rsidR="008B7C8E">
        <w:rPr>
          <w:rFonts w:ascii="Arial" w:hAnsi="Arial" w:cs="Arial"/>
          <w:bCs/>
          <w:szCs w:val="22"/>
        </w:rPr>
        <w:t>s</w:t>
      </w:r>
      <w:r>
        <w:rPr>
          <w:rFonts w:ascii="Arial" w:hAnsi="Arial" w:cs="Arial"/>
          <w:bCs/>
          <w:szCs w:val="22"/>
        </w:rPr>
        <w:t xml:space="preserve"> agencias de turismo a aquellos pequeños locales comerciales destinados a venta de artesanías, paseos, guías de pesca o </w:t>
      </w:r>
      <w:r w:rsidR="008B7C8E">
        <w:rPr>
          <w:rFonts w:ascii="Arial" w:hAnsi="Arial" w:cs="Arial"/>
          <w:bCs/>
          <w:szCs w:val="22"/>
        </w:rPr>
        <w:t>venta de comidas regionales.</w:t>
      </w:r>
    </w:p>
    <w:p w14:paraId="05693B5C" w14:textId="77777777" w:rsidR="008B7C8E" w:rsidRDefault="008B7C8E" w:rsidP="0045586D">
      <w:pPr>
        <w:autoSpaceDE w:val="0"/>
        <w:autoSpaceDN w:val="0"/>
        <w:adjustRightInd w:val="0"/>
        <w:rPr>
          <w:rFonts w:ascii="Arial" w:hAnsi="Arial" w:cs="Arial"/>
          <w:bCs/>
          <w:szCs w:val="22"/>
        </w:rPr>
      </w:pPr>
    </w:p>
    <w:p w14:paraId="3116E934" w14:textId="77777777" w:rsidR="008B7C8E" w:rsidRDefault="008B7C8E" w:rsidP="0045586D">
      <w:pPr>
        <w:autoSpaceDE w:val="0"/>
        <w:autoSpaceDN w:val="0"/>
        <w:adjustRightInd w:val="0"/>
        <w:rPr>
          <w:rFonts w:ascii="Arial" w:hAnsi="Arial" w:cs="Arial"/>
          <w:bCs/>
          <w:szCs w:val="22"/>
        </w:rPr>
      </w:pPr>
      <w:r>
        <w:rPr>
          <w:rFonts w:ascii="Arial" w:hAnsi="Arial" w:cs="Arial"/>
          <w:bCs/>
          <w:szCs w:val="22"/>
        </w:rPr>
        <w:t>En nuestra provincia esta actividad, y a partir del desarrollo de complejos termales, rompió la estacionalidad y varias localidades reciben a turistas todo el año. Varias ciudades sienten hoy el impacto en sus economías domésticas producto del actual contexto.</w:t>
      </w:r>
    </w:p>
    <w:p w14:paraId="56FD2CE2" w14:textId="77777777" w:rsidR="008B7C8E" w:rsidRDefault="008B7C8E" w:rsidP="0045586D">
      <w:pPr>
        <w:autoSpaceDE w:val="0"/>
        <w:autoSpaceDN w:val="0"/>
        <w:adjustRightInd w:val="0"/>
        <w:rPr>
          <w:rFonts w:ascii="Arial" w:hAnsi="Arial" w:cs="Arial"/>
          <w:bCs/>
          <w:szCs w:val="22"/>
        </w:rPr>
      </w:pPr>
    </w:p>
    <w:p w14:paraId="49AFAE65" w14:textId="77777777" w:rsidR="00150071" w:rsidRDefault="008B7C8E" w:rsidP="0045586D">
      <w:pPr>
        <w:autoSpaceDE w:val="0"/>
        <w:autoSpaceDN w:val="0"/>
        <w:adjustRightInd w:val="0"/>
        <w:rPr>
          <w:rFonts w:ascii="Arial" w:hAnsi="Arial" w:cs="Arial"/>
          <w:bCs/>
          <w:szCs w:val="22"/>
        </w:rPr>
      </w:pPr>
      <w:r>
        <w:rPr>
          <w:rFonts w:ascii="Arial" w:hAnsi="Arial" w:cs="Arial"/>
          <w:bCs/>
          <w:szCs w:val="22"/>
        </w:rPr>
        <w:t xml:space="preserve">Emprendedores y empresas del sector señalan dificultades para reiniciar la actividad y muchas de ellas, ya en cesación de pago, están al borde de la quiebra, lo que transfiere problemas adicionales al frágil </w:t>
      </w:r>
      <w:r w:rsidR="00150071">
        <w:rPr>
          <w:rFonts w:ascii="Arial" w:hAnsi="Arial" w:cs="Arial"/>
          <w:bCs/>
          <w:szCs w:val="22"/>
        </w:rPr>
        <w:t>mercado laboral, dado que son muchos los trabajadores que hoy ven peligrar sus puestos de trabajo.</w:t>
      </w:r>
    </w:p>
    <w:p w14:paraId="73C23FCA" w14:textId="77777777" w:rsidR="00150071" w:rsidRDefault="00150071" w:rsidP="0045586D">
      <w:pPr>
        <w:autoSpaceDE w:val="0"/>
        <w:autoSpaceDN w:val="0"/>
        <w:adjustRightInd w:val="0"/>
        <w:rPr>
          <w:rFonts w:ascii="Arial" w:hAnsi="Arial" w:cs="Arial"/>
          <w:bCs/>
          <w:szCs w:val="22"/>
        </w:rPr>
      </w:pPr>
    </w:p>
    <w:p w14:paraId="7E16262F" w14:textId="77777777" w:rsidR="0045586D" w:rsidRDefault="008B7C8E" w:rsidP="00150071">
      <w:pPr>
        <w:autoSpaceDE w:val="0"/>
        <w:autoSpaceDN w:val="0"/>
        <w:adjustRightInd w:val="0"/>
        <w:rPr>
          <w:rFonts w:ascii="Arial" w:hAnsi="Arial" w:cs="Arial"/>
          <w:bCs/>
          <w:szCs w:val="22"/>
        </w:rPr>
      </w:pPr>
      <w:r>
        <w:rPr>
          <w:rFonts w:ascii="Arial" w:hAnsi="Arial" w:cs="Arial"/>
          <w:bCs/>
          <w:szCs w:val="22"/>
        </w:rPr>
        <w:t xml:space="preserve"> </w:t>
      </w:r>
      <w:r w:rsidR="00150071">
        <w:rPr>
          <w:rFonts w:ascii="Arial" w:hAnsi="Arial" w:cs="Arial"/>
          <w:bCs/>
          <w:szCs w:val="22"/>
        </w:rPr>
        <w:t xml:space="preserve">El estado debe propender a sostener las empresas del sector, promoviendo diferimientos impositivos y otros tipos de ayuda como marco de colaboración por la emergencia. </w:t>
      </w:r>
    </w:p>
    <w:p w14:paraId="32C3D861" w14:textId="77777777" w:rsidR="00150071" w:rsidRDefault="00150071" w:rsidP="00150071">
      <w:pPr>
        <w:autoSpaceDE w:val="0"/>
        <w:autoSpaceDN w:val="0"/>
        <w:adjustRightInd w:val="0"/>
        <w:rPr>
          <w:rFonts w:ascii="Arial" w:hAnsi="Arial" w:cs="Arial"/>
          <w:bCs/>
          <w:szCs w:val="22"/>
        </w:rPr>
      </w:pPr>
    </w:p>
    <w:p w14:paraId="1E50CC18" w14:textId="77777777" w:rsidR="00150071" w:rsidRDefault="00150071" w:rsidP="00150071">
      <w:pPr>
        <w:autoSpaceDE w:val="0"/>
        <w:autoSpaceDN w:val="0"/>
        <w:adjustRightInd w:val="0"/>
        <w:rPr>
          <w:rFonts w:ascii="Arial" w:hAnsi="Arial" w:cs="Arial"/>
          <w:bCs/>
          <w:szCs w:val="22"/>
        </w:rPr>
      </w:pPr>
      <w:r>
        <w:rPr>
          <w:rFonts w:ascii="Arial" w:hAnsi="Arial" w:cs="Arial"/>
          <w:bCs/>
          <w:szCs w:val="22"/>
        </w:rPr>
        <w:t xml:space="preserve">Deberá, además, desde el Ministerio de Producción y Turismo en conjunto con actores económicos del sector, promover ámbitos para el diseño y ejecución de programas estratégicos como fortalecimiento de la oferta y la necesaria promoción en los mercados emisores, hoy muy sensibilizados y afectados por el contexto sanitario. </w:t>
      </w:r>
    </w:p>
    <w:p w14:paraId="1CB279CE" w14:textId="77777777" w:rsidR="00150071" w:rsidRDefault="00150071" w:rsidP="00150071">
      <w:pPr>
        <w:autoSpaceDE w:val="0"/>
        <w:autoSpaceDN w:val="0"/>
        <w:adjustRightInd w:val="0"/>
        <w:rPr>
          <w:rFonts w:ascii="Arial" w:hAnsi="Arial" w:cs="Arial"/>
          <w:bCs/>
          <w:szCs w:val="22"/>
        </w:rPr>
      </w:pPr>
    </w:p>
    <w:p w14:paraId="05F79973" w14:textId="77777777" w:rsidR="00150071" w:rsidRDefault="00150071" w:rsidP="00150071">
      <w:pPr>
        <w:autoSpaceDE w:val="0"/>
        <w:autoSpaceDN w:val="0"/>
        <w:adjustRightInd w:val="0"/>
        <w:rPr>
          <w:rFonts w:ascii="Arial" w:hAnsi="Arial" w:cs="Arial"/>
          <w:bCs/>
          <w:szCs w:val="22"/>
        </w:rPr>
      </w:pPr>
      <w:r>
        <w:rPr>
          <w:rFonts w:ascii="Arial" w:hAnsi="Arial" w:cs="Arial"/>
          <w:bCs/>
          <w:szCs w:val="22"/>
        </w:rPr>
        <w:t>En tal sentido presentamos esta iniciativa pidiendo el acompañamiento a nuestros pares senadores.</w:t>
      </w:r>
    </w:p>
    <w:p w14:paraId="06C67A71" w14:textId="77777777" w:rsidR="00150071" w:rsidRDefault="00150071" w:rsidP="00150071">
      <w:pPr>
        <w:autoSpaceDE w:val="0"/>
        <w:autoSpaceDN w:val="0"/>
        <w:adjustRightInd w:val="0"/>
        <w:rPr>
          <w:rFonts w:ascii="Arial" w:hAnsi="Arial" w:cs="Arial"/>
          <w:bCs/>
          <w:szCs w:val="22"/>
        </w:rPr>
      </w:pPr>
    </w:p>
    <w:p w14:paraId="0753F43B" w14:textId="77777777" w:rsidR="00150071" w:rsidRDefault="00150071" w:rsidP="00150071">
      <w:pPr>
        <w:autoSpaceDE w:val="0"/>
        <w:autoSpaceDN w:val="0"/>
        <w:adjustRightInd w:val="0"/>
        <w:rPr>
          <w:rFonts w:ascii="Arial" w:hAnsi="Arial" w:cs="Arial"/>
          <w:bCs/>
          <w:szCs w:val="22"/>
        </w:rPr>
      </w:pPr>
    </w:p>
    <w:p w14:paraId="3ACD313C" w14:textId="77777777" w:rsidR="00150071" w:rsidRDefault="00150071" w:rsidP="00150071">
      <w:pPr>
        <w:autoSpaceDE w:val="0"/>
        <w:autoSpaceDN w:val="0"/>
        <w:adjustRightInd w:val="0"/>
        <w:rPr>
          <w:rFonts w:ascii="Arial" w:hAnsi="Arial" w:cs="Arial"/>
          <w:bCs/>
          <w:szCs w:val="22"/>
        </w:rPr>
      </w:pPr>
    </w:p>
    <w:p w14:paraId="6CE68E4E" w14:textId="77777777" w:rsidR="00150071" w:rsidRDefault="00150071" w:rsidP="00150071">
      <w:pPr>
        <w:autoSpaceDE w:val="0"/>
        <w:autoSpaceDN w:val="0"/>
        <w:adjustRightInd w:val="0"/>
        <w:rPr>
          <w:rFonts w:ascii="Arial" w:hAnsi="Arial" w:cs="Arial"/>
          <w:bCs/>
          <w:szCs w:val="22"/>
        </w:rPr>
      </w:pPr>
    </w:p>
    <w:p w14:paraId="63EE396D" w14:textId="77777777" w:rsidR="00150071" w:rsidRDefault="00150071" w:rsidP="00150071">
      <w:pPr>
        <w:autoSpaceDE w:val="0"/>
        <w:autoSpaceDN w:val="0"/>
        <w:adjustRightInd w:val="0"/>
        <w:rPr>
          <w:rFonts w:ascii="Arial" w:hAnsi="Arial" w:cs="Arial"/>
          <w:bCs/>
          <w:szCs w:val="22"/>
        </w:rPr>
      </w:pPr>
    </w:p>
    <w:p w14:paraId="451DE470" w14:textId="77777777" w:rsidR="00150071" w:rsidRDefault="00150071" w:rsidP="00150071">
      <w:pPr>
        <w:autoSpaceDE w:val="0"/>
        <w:autoSpaceDN w:val="0"/>
        <w:adjustRightInd w:val="0"/>
        <w:rPr>
          <w:rFonts w:ascii="Arial" w:hAnsi="Arial" w:cs="Arial"/>
          <w:bCs/>
          <w:szCs w:val="22"/>
        </w:rPr>
      </w:pPr>
    </w:p>
    <w:p w14:paraId="26D16E5C" w14:textId="77777777" w:rsidR="00150071" w:rsidRDefault="00150071" w:rsidP="00150071">
      <w:pPr>
        <w:autoSpaceDE w:val="0"/>
        <w:autoSpaceDN w:val="0"/>
        <w:adjustRightInd w:val="0"/>
        <w:rPr>
          <w:rFonts w:ascii="Arial" w:hAnsi="Arial" w:cs="Arial"/>
          <w:bCs/>
          <w:szCs w:val="22"/>
        </w:rPr>
      </w:pPr>
    </w:p>
    <w:p w14:paraId="4B8398D0" w14:textId="77777777" w:rsidR="00150071" w:rsidRDefault="00150071" w:rsidP="00150071">
      <w:pPr>
        <w:autoSpaceDE w:val="0"/>
        <w:autoSpaceDN w:val="0"/>
        <w:adjustRightInd w:val="0"/>
        <w:rPr>
          <w:rFonts w:ascii="Arial" w:hAnsi="Arial" w:cs="Arial"/>
          <w:bCs/>
          <w:szCs w:val="22"/>
        </w:rPr>
      </w:pPr>
    </w:p>
    <w:p w14:paraId="128A31CA" w14:textId="77777777" w:rsidR="00150071" w:rsidRDefault="00150071" w:rsidP="00150071">
      <w:pPr>
        <w:autoSpaceDE w:val="0"/>
        <w:autoSpaceDN w:val="0"/>
        <w:adjustRightInd w:val="0"/>
        <w:rPr>
          <w:rFonts w:ascii="Arial" w:hAnsi="Arial" w:cs="Arial"/>
          <w:bCs/>
          <w:szCs w:val="22"/>
        </w:rPr>
      </w:pPr>
    </w:p>
    <w:p w14:paraId="5AA4DE22" w14:textId="77777777" w:rsidR="00150071" w:rsidRDefault="00150071" w:rsidP="00150071">
      <w:pPr>
        <w:autoSpaceDE w:val="0"/>
        <w:autoSpaceDN w:val="0"/>
        <w:adjustRightInd w:val="0"/>
        <w:rPr>
          <w:rFonts w:ascii="Arial" w:hAnsi="Arial" w:cs="Arial"/>
          <w:bCs/>
          <w:szCs w:val="22"/>
        </w:rPr>
      </w:pPr>
    </w:p>
    <w:p w14:paraId="01EAB0B2" w14:textId="77777777" w:rsidR="00150071" w:rsidRDefault="00150071" w:rsidP="00150071">
      <w:pPr>
        <w:autoSpaceDE w:val="0"/>
        <w:autoSpaceDN w:val="0"/>
        <w:adjustRightInd w:val="0"/>
        <w:rPr>
          <w:rFonts w:ascii="Arial" w:hAnsi="Arial" w:cs="Arial"/>
          <w:bCs/>
          <w:szCs w:val="22"/>
        </w:rPr>
      </w:pPr>
    </w:p>
    <w:p w14:paraId="2389572F" w14:textId="77777777" w:rsidR="00FF39F4" w:rsidRPr="00FF39F4" w:rsidRDefault="00FF39F4" w:rsidP="00FF39F4">
      <w:pPr>
        <w:autoSpaceDE w:val="0"/>
        <w:autoSpaceDN w:val="0"/>
        <w:adjustRightInd w:val="0"/>
        <w:jc w:val="center"/>
        <w:rPr>
          <w:rFonts w:ascii="Arial" w:hAnsi="Arial" w:cs="Arial"/>
          <w:b/>
          <w:bCs/>
          <w:szCs w:val="22"/>
        </w:rPr>
      </w:pPr>
      <w:r w:rsidRPr="00FF39F4">
        <w:rPr>
          <w:rFonts w:ascii="Arial" w:hAnsi="Arial" w:cs="Arial"/>
          <w:b/>
          <w:bCs/>
          <w:szCs w:val="22"/>
        </w:rPr>
        <w:t>LA LEGISLATURA DE LA PROVINCIA DE ENTRE RÍOS SANCIONA CON FUERZA DE</w:t>
      </w:r>
    </w:p>
    <w:p w14:paraId="66E27A98" w14:textId="77777777" w:rsidR="00FF39F4" w:rsidRDefault="00FF39F4" w:rsidP="00FF39F4">
      <w:pPr>
        <w:autoSpaceDE w:val="0"/>
        <w:autoSpaceDN w:val="0"/>
        <w:adjustRightInd w:val="0"/>
        <w:jc w:val="center"/>
        <w:rPr>
          <w:rFonts w:ascii="Arial" w:hAnsi="Arial" w:cs="Arial"/>
          <w:bCs/>
          <w:szCs w:val="22"/>
        </w:rPr>
      </w:pPr>
    </w:p>
    <w:p w14:paraId="198605DE" w14:textId="77777777" w:rsidR="00FF39F4" w:rsidRPr="00FF39F4" w:rsidRDefault="00FF39F4" w:rsidP="00FF39F4">
      <w:pPr>
        <w:autoSpaceDE w:val="0"/>
        <w:autoSpaceDN w:val="0"/>
        <w:adjustRightInd w:val="0"/>
        <w:jc w:val="center"/>
        <w:rPr>
          <w:rFonts w:ascii="Arial" w:hAnsi="Arial" w:cs="Arial"/>
          <w:b/>
          <w:bCs/>
          <w:sz w:val="36"/>
          <w:szCs w:val="22"/>
        </w:rPr>
      </w:pPr>
      <w:r w:rsidRPr="00FF39F4">
        <w:rPr>
          <w:rFonts w:ascii="Arial" w:hAnsi="Arial" w:cs="Arial"/>
          <w:b/>
          <w:bCs/>
          <w:sz w:val="36"/>
          <w:szCs w:val="22"/>
        </w:rPr>
        <w:t>LEY</w:t>
      </w:r>
    </w:p>
    <w:p w14:paraId="459BD7A9" w14:textId="77777777" w:rsidR="00FF39F4" w:rsidRDefault="00FF39F4" w:rsidP="00150071">
      <w:pPr>
        <w:autoSpaceDE w:val="0"/>
        <w:autoSpaceDN w:val="0"/>
        <w:adjustRightInd w:val="0"/>
        <w:rPr>
          <w:rFonts w:ascii="Arial" w:hAnsi="Arial" w:cs="Arial"/>
          <w:bCs/>
          <w:szCs w:val="22"/>
        </w:rPr>
      </w:pPr>
    </w:p>
    <w:p w14:paraId="06AD4936" w14:textId="77777777" w:rsidR="00FF39F4" w:rsidRPr="0045586D" w:rsidRDefault="00FF39F4" w:rsidP="00150071">
      <w:pPr>
        <w:autoSpaceDE w:val="0"/>
        <w:autoSpaceDN w:val="0"/>
        <w:adjustRightInd w:val="0"/>
        <w:rPr>
          <w:rFonts w:ascii="Arial" w:hAnsi="Arial" w:cs="Arial"/>
          <w:bCs/>
          <w:szCs w:val="22"/>
        </w:rPr>
      </w:pPr>
    </w:p>
    <w:p w14:paraId="40DE55CA" w14:textId="77777777" w:rsidR="00FE36F7" w:rsidRPr="00ED606F" w:rsidRDefault="00F775A1" w:rsidP="00ED606F">
      <w:pPr>
        <w:jc w:val="both"/>
        <w:rPr>
          <w:rFonts w:ascii="Arial" w:hAnsi="Arial" w:cs="Arial"/>
        </w:rPr>
      </w:pPr>
      <w:r w:rsidRPr="00F775A1">
        <w:rPr>
          <w:rFonts w:ascii="Arial" w:hAnsi="Arial" w:cs="Arial"/>
          <w:b/>
        </w:rPr>
        <w:t>Artículo</w:t>
      </w:r>
      <w:r w:rsidR="00FE36F7" w:rsidRPr="00F775A1">
        <w:rPr>
          <w:rFonts w:ascii="Arial" w:hAnsi="Arial" w:cs="Arial"/>
          <w:b/>
        </w:rPr>
        <w:t xml:space="preserve"> 1º</w:t>
      </w:r>
      <w:r w:rsidR="00FE36F7" w:rsidRPr="00ED606F">
        <w:rPr>
          <w:rFonts w:ascii="Arial" w:hAnsi="Arial" w:cs="Arial"/>
        </w:rPr>
        <w:t>.</w:t>
      </w:r>
      <w:r w:rsidR="00ED606F" w:rsidRPr="00ED606F">
        <w:rPr>
          <w:rFonts w:ascii="Arial" w:hAnsi="Arial" w:cs="Arial"/>
        </w:rPr>
        <w:t xml:space="preserve"> </w:t>
      </w:r>
      <w:r w:rsidR="00FE36F7" w:rsidRPr="00ED606F">
        <w:rPr>
          <w:rFonts w:ascii="Arial" w:hAnsi="Arial" w:cs="Arial"/>
        </w:rPr>
        <w:t>Declárase la Emergencia Económica para el Sector</w:t>
      </w:r>
      <w:r w:rsidR="008B25C7" w:rsidRPr="00ED606F">
        <w:rPr>
          <w:rFonts w:ascii="Arial" w:hAnsi="Arial" w:cs="Arial"/>
        </w:rPr>
        <w:t xml:space="preserve"> de servicios</w:t>
      </w:r>
      <w:r w:rsidR="00FE36F7" w:rsidRPr="00ED606F">
        <w:rPr>
          <w:rFonts w:ascii="Arial" w:hAnsi="Arial" w:cs="Arial"/>
        </w:rPr>
        <w:t xml:space="preserve"> Turístico</w:t>
      </w:r>
      <w:r w:rsidR="008B25C7" w:rsidRPr="00ED606F">
        <w:rPr>
          <w:rFonts w:ascii="Arial" w:hAnsi="Arial" w:cs="Arial"/>
        </w:rPr>
        <w:t>s</w:t>
      </w:r>
      <w:r w:rsidR="00FE36F7" w:rsidRPr="00ED606F">
        <w:rPr>
          <w:rFonts w:ascii="Arial" w:hAnsi="Arial" w:cs="Arial"/>
        </w:rPr>
        <w:t xml:space="preserve"> </w:t>
      </w:r>
      <w:r w:rsidR="008B25C7" w:rsidRPr="00ED606F">
        <w:rPr>
          <w:rFonts w:ascii="Arial" w:hAnsi="Arial" w:cs="Arial"/>
        </w:rPr>
        <w:t xml:space="preserve">de la provincia de Entre Ríos hasta el 31 de diciembre de 2020, pudiendo el Poder Ejecutivo Provincial prorrogar por Decreto dicho plazo hasta el 30 de junio de 2021 y su comunicación a ambas cámaras. </w:t>
      </w:r>
    </w:p>
    <w:p w14:paraId="2C8DF090" w14:textId="77777777" w:rsidR="00FE36F7" w:rsidRPr="00ED606F" w:rsidRDefault="00FE36F7" w:rsidP="00ED606F">
      <w:pPr>
        <w:jc w:val="both"/>
        <w:rPr>
          <w:rFonts w:ascii="Arial" w:hAnsi="Arial" w:cs="Arial"/>
        </w:rPr>
      </w:pPr>
    </w:p>
    <w:p w14:paraId="5C529768" w14:textId="77777777" w:rsidR="00FE36F7" w:rsidRPr="00ED606F" w:rsidRDefault="00F775A1" w:rsidP="00ED606F">
      <w:pPr>
        <w:jc w:val="both"/>
        <w:rPr>
          <w:rFonts w:ascii="Arial" w:hAnsi="Arial" w:cs="Arial"/>
        </w:rPr>
      </w:pPr>
      <w:r w:rsidRPr="00F775A1">
        <w:rPr>
          <w:rFonts w:ascii="Arial" w:hAnsi="Arial" w:cs="Arial"/>
          <w:b/>
        </w:rPr>
        <w:t>Artículo</w:t>
      </w:r>
      <w:r w:rsidR="00ED606F" w:rsidRPr="00F775A1">
        <w:rPr>
          <w:rFonts w:ascii="Arial" w:hAnsi="Arial" w:cs="Arial"/>
          <w:b/>
        </w:rPr>
        <w:t xml:space="preserve"> 2°.</w:t>
      </w:r>
      <w:r w:rsidR="00ED606F" w:rsidRPr="00ED606F">
        <w:rPr>
          <w:rFonts w:ascii="Arial" w:hAnsi="Arial" w:cs="Arial"/>
        </w:rPr>
        <w:t xml:space="preserve"> </w:t>
      </w:r>
      <w:r w:rsidR="008B25C7" w:rsidRPr="00ED606F">
        <w:rPr>
          <w:rFonts w:ascii="Arial" w:hAnsi="Arial" w:cs="Arial"/>
        </w:rPr>
        <w:t>Dispónese que serán comprendidos como beneficiarios de la presente ley</w:t>
      </w:r>
      <w:r w:rsidR="00CE586E">
        <w:rPr>
          <w:rFonts w:ascii="Arial" w:hAnsi="Arial" w:cs="Arial"/>
        </w:rPr>
        <w:t xml:space="preserve"> todas las</w:t>
      </w:r>
      <w:r w:rsidR="008B25C7" w:rsidRPr="00ED606F">
        <w:rPr>
          <w:rFonts w:ascii="Arial" w:hAnsi="Arial" w:cs="Arial"/>
        </w:rPr>
        <w:t xml:space="preserve"> personas físicas o jurídicas </w:t>
      </w:r>
      <w:r w:rsidR="00ED606F" w:rsidRPr="00ED606F">
        <w:rPr>
          <w:rFonts w:ascii="Arial" w:hAnsi="Arial" w:cs="Arial"/>
        </w:rPr>
        <w:t>escuadradas en los alcances de la Resolución 563/19 SEPyME, debidamente registradas</w:t>
      </w:r>
      <w:r w:rsidR="00CE586E">
        <w:rPr>
          <w:rFonts w:ascii="Arial" w:hAnsi="Arial" w:cs="Arial"/>
        </w:rPr>
        <w:t xml:space="preserve"> y en operaciones durante el ejercicio 2019, y habilitadas como tales al 1 de abril del corriente año,</w:t>
      </w:r>
      <w:r w:rsidR="00ED606F" w:rsidRPr="00ED606F">
        <w:rPr>
          <w:rFonts w:ascii="Arial" w:hAnsi="Arial" w:cs="Arial"/>
        </w:rPr>
        <w:t xml:space="preserve"> y cuyo destino sea la prestación de servicios turísticos a saber:</w:t>
      </w:r>
    </w:p>
    <w:p w14:paraId="67875B7A" w14:textId="77777777" w:rsidR="00ED606F" w:rsidRPr="00ED606F" w:rsidRDefault="00ED606F" w:rsidP="00ED606F">
      <w:pPr>
        <w:jc w:val="both"/>
        <w:rPr>
          <w:rFonts w:ascii="Arial" w:hAnsi="Arial" w:cs="Arial"/>
        </w:rPr>
      </w:pPr>
    </w:p>
    <w:p w14:paraId="4ECD4A56" w14:textId="77777777" w:rsidR="00ED606F" w:rsidRPr="00ED606F" w:rsidRDefault="00FE36F7" w:rsidP="00ED606F">
      <w:pPr>
        <w:numPr>
          <w:ilvl w:val="0"/>
          <w:numId w:val="1"/>
        </w:numPr>
        <w:jc w:val="both"/>
        <w:rPr>
          <w:rFonts w:ascii="Arial" w:hAnsi="Arial" w:cs="Arial"/>
        </w:rPr>
      </w:pPr>
      <w:r w:rsidRPr="00ED606F">
        <w:rPr>
          <w:rFonts w:ascii="Arial" w:hAnsi="Arial" w:cs="Arial"/>
        </w:rPr>
        <w:t>Servicios de transportes con afectación exclusiva para la actividad</w:t>
      </w:r>
      <w:r w:rsidR="00ED606F" w:rsidRPr="00ED606F">
        <w:rPr>
          <w:rFonts w:ascii="Arial" w:hAnsi="Arial" w:cs="Arial"/>
        </w:rPr>
        <w:t xml:space="preserve"> </w:t>
      </w:r>
      <w:r w:rsidRPr="00ED606F">
        <w:rPr>
          <w:rFonts w:ascii="Arial" w:hAnsi="Arial" w:cs="Arial"/>
        </w:rPr>
        <w:t>turística</w:t>
      </w:r>
    </w:p>
    <w:p w14:paraId="34A9981D" w14:textId="77777777" w:rsidR="00ED606F" w:rsidRPr="00ED606F" w:rsidRDefault="00FE36F7" w:rsidP="00ED606F">
      <w:pPr>
        <w:numPr>
          <w:ilvl w:val="0"/>
          <w:numId w:val="1"/>
        </w:numPr>
        <w:jc w:val="both"/>
        <w:rPr>
          <w:rFonts w:ascii="Arial" w:hAnsi="Arial" w:cs="Arial"/>
        </w:rPr>
      </w:pPr>
      <w:r w:rsidRPr="00ED606F">
        <w:rPr>
          <w:rFonts w:ascii="Arial" w:hAnsi="Arial" w:cs="Arial"/>
        </w:rPr>
        <w:t>Hoteles y demás alojamientos turísticos.</w:t>
      </w:r>
    </w:p>
    <w:p w14:paraId="693D6653" w14:textId="77777777" w:rsidR="00ED606F" w:rsidRPr="00ED606F" w:rsidRDefault="00FE36F7" w:rsidP="00ED606F">
      <w:pPr>
        <w:numPr>
          <w:ilvl w:val="0"/>
          <w:numId w:val="1"/>
        </w:numPr>
        <w:jc w:val="both"/>
        <w:rPr>
          <w:rFonts w:ascii="Arial" w:hAnsi="Arial" w:cs="Arial"/>
        </w:rPr>
      </w:pPr>
      <w:r w:rsidRPr="00ED606F">
        <w:rPr>
          <w:rFonts w:ascii="Arial" w:hAnsi="Arial" w:cs="Arial"/>
        </w:rPr>
        <w:t>Complejos termales</w:t>
      </w:r>
      <w:r w:rsidR="00ED606F" w:rsidRPr="00ED606F">
        <w:rPr>
          <w:rFonts w:ascii="Arial" w:hAnsi="Arial" w:cs="Arial"/>
        </w:rPr>
        <w:t xml:space="preserve"> y todos los comercios incluidos dentro de los mismos</w:t>
      </w:r>
    </w:p>
    <w:p w14:paraId="738B7D87" w14:textId="77777777" w:rsidR="00ED606F" w:rsidRPr="00ED606F" w:rsidRDefault="00FE36F7" w:rsidP="00ED606F">
      <w:pPr>
        <w:numPr>
          <w:ilvl w:val="0"/>
          <w:numId w:val="1"/>
        </w:numPr>
        <w:jc w:val="both"/>
        <w:rPr>
          <w:rFonts w:ascii="Arial" w:hAnsi="Arial" w:cs="Arial"/>
        </w:rPr>
      </w:pPr>
      <w:r w:rsidRPr="00ED606F">
        <w:rPr>
          <w:rFonts w:ascii="Arial" w:hAnsi="Arial" w:cs="Arial"/>
        </w:rPr>
        <w:t>Establecimientos gastronómicos.</w:t>
      </w:r>
    </w:p>
    <w:p w14:paraId="495B9C27" w14:textId="77777777" w:rsidR="00ED606F" w:rsidRPr="00ED606F" w:rsidRDefault="00FE36F7" w:rsidP="00ED606F">
      <w:pPr>
        <w:numPr>
          <w:ilvl w:val="0"/>
          <w:numId w:val="1"/>
        </w:numPr>
        <w:jc w:val="both"/>
        <w:rPr>
          <w:rFonts w:ascii="Arial" w:hAnsi="Arial" w:cs="Arial"/>
        </w:rPr>
      </w:pPr>
      <w:r w:rsidRPr="00ED606F">
        <w:rPr>
          <w:rFonts w:ascii="Arial" w:hAnsi="Arial" w:cs="Arial"/>
        </w:rPr>
        <w:t>Agencias de viajes y turismos.</w:t>
      </w:r>
    </w:p>
    <w:p w14:paraId="5A826499" w14:textId="77777777" w:rsidR="00ED606F" w:rsidRPr="00ED606F" w:rsidRDefault="00FE36F7" w:rsidP="00ED606F">
      <w:pPr>
        <w:numPr>
          <w:ilvl w:val="0"/>
          <w:numId w:val="1"/>
        </w:numPr>
        <w:jc w:val="both"/>
        <w:rPr>
          <w:rFonts w:ascii="Arial" w:hAnsi="Arial" w:cs="Arial"/>
        </w:rPr>
      </w:pPr>
      <w:r w:rsidRPr="00ED606F">
        <w:rPr>
          <w:rFonts w:ascii="Arial" w:hAnsi="Arial" w:cs="Arial"/>
        </w:rPr>
        <w:t>Guías de turismo, guías especializados y guías de pesca.</w:t>
      </w:r>
    </w:p>
    <w:p w14:paraId="575A3904" w14:textId="77777777" w:rsidR="00ED606F" w:rsidRPr="00ED606F" w:rsidRDefault="00ED606F" w:rsidP="00ED606F">
      <w:pPr>
        <w:numPr>
          <w:ilvl w:val="0"/>
          <w:numId w:val="1"/>
        </w:numPr>
        <w:jc w:val="both"/>
        <w:rPr>
          <w:rFonts w:ascii="Arial" w:hAnsi="Arial" w:cs="Arial"/>
        </w:rPr>
      </w:pPr>
      <w:r w:rsidRPr="00ED606F">
        <w:rPr>
          <w:rFonts w:ascii="Arial" w:hAnsi="Arial" w:cs="Arial"/>
        </w:rPr>
        <w:t>Comercios cuya actividad principal sea la venta de artesanías</w:t>
      </w:r>
    </w:p>
    <w:p w14:paraId="3B4A3CD3" w14:textId="77777777" w:rsidR="008B25C7" w:rsidRDefault="00ED606F" w:rsidP="00ED606F">
      <w:pPr>
        <w:numPr>
          <w:ilvl w:val="0"/>
          <w:numId w:val="1"/>
        </w:numPr>
        <w:jc w:val="both"/>
        <w:rPr>
          <w:rFonts w:ascii="Arial" w:hAnsi="Arial" w:cs="Arial"/>
        </w:rPr>
      </w:pPr>
      <w:r w:rsidRPr="00ED606F">
        <w:rPr>
          <w:rFonts w:ascii="Arial" w:hAnsi="Arial" w:cs="Arial"/>
        </w:rPr>
        <w:t xml:space="preserve">Toda otra actividad turística que, a criterio, dispuesta por resolución fundada, de la Autoridad de Aplicación. </w:t>
      </w:r>
    </w:p>
    <w:p w14:paraId="2A0C337C" w14:textId="77777777" w:rsidR="00797B1F" w:rsidRDefault="00797B1F" w:rsidP="00797B1F">
      <w:pPr>
        <w:jc w:val="both"/>
        <w:rPr>
          <w:rFonts w:ascii="Arial" w:hAnsi="Arial" w:cs="Arial"/>
        </w:rPr>
      </w:pPr>
    </w:p>
    <w:p w14:paraId="311FE4CE" w14:textId="77777777" w:rsidR="00CE586E" w:rsidRPr="00797B1F" w:rsidRDefault="00797B1F" w:rsidP="00CE586E">
      <w:pPr>
        <w:jc w:val="both"/>
        <w:rPr>
          <w:rFonts w:ascii="Arial" w:hAnsi="Arial" w:cs="Arial"/>
        </w:rPr>
      </w:pPr>
      <w:r w:rsidRPr="00797B1F">
        <w:rPr>
          <w:rFonts w:ascii="Arial" w:hAnsi="Arial" w:cs="Arial"/>
        </w:rPr>
        <w:t xml:space="preserve">Quedan excluidos </w:t>
      </w:r>
      <w:r>
        <w:rPr>
          <w:rFonts w:ascii="Arial" w:hAnsi="Arial" w:cs="Arial"/>
        </w:rPr>
        <w:t>los</w:t>
      </w:r>
      <w:r w:rsidRPr="00797B1F">
        <w:rPr>
          <w:rFonts w:ascii="Arial" w:hAnsi="Arial" w:cs="Arial"/>
        </w:rPr>
        <w:t xml:space="preserve"> servicios relacionados con los juegos de azar y/o apuestas.</w:t>
      </w:r>
    </w:p>
    <w:p w14:paraId="2F9974A0" w14:textId="77777777" w:rsidR="00797B1F" w:rsidRDefault="00797B1F" w:rsidP="00CE586E">
      <w:pPr>
        <w:jc w:val="both"/>
        <w:rPr>
          <w:rFonts w:ascii="Arial" w:hAnsi="Arial" w:cs="Arial"/>
        </w:rPr>
      </w:pPr>
    </w:p>
    <w:p w14:paraId="2D1BE409" w14:textId="77777777" w:rsidR="00CE586E" w:rsidRDefault="00CE586E" w:rsidP="00CE586E">
      <w:pPr>
        <w:jc w:val="both"/>
        <w:rPr>
          <w:rFonts w:ascii="Arial" w:hAnsi="Arial" w:cs="Arial"/>
        </w:rPr>
      </w:pPr>
      <w:r>
        <w:rPr>
          <w:rFonts w:ascii="Arial" w:hAnsi="Arial" w:cs="Arial"/>
        </w:rPr>
        <w:t xml:space="preserve">Facultase a la Autoridad de Aplicación de la presente a determinar en su reglamentación los parámetros y documentación que deberán presentarse para ser beneficiarias de los alcances de esta ley.  </w:t>
      </w:r>
    </w:p>
    <w:p w14:paraId="2207F2CE" w14:textId="77777777" w:rsidR="00797B1F" w:rsidRDefault="00797B1F" w:rsidP="00CE586E">
      <w:pPr>
        <w:jc w:val="both"/>
        <w:rPr>
          <w:rFonts w:ascii="Arial" w:hAnsi="Arial" w:cs="Arial"/>
        </w:rPr>
      </w:pPr>
    </w:p>
    <w:p w14:paraId="25FA91E5" w14:textId="77777777" w:rsidR="00CE586E" w:rsidRDefault="00CE586E" w:rsidP="00CE586E">
      <w:pPr>
        <w:jc w:val="both"/>
        <w:rPr>
          <w:rFonts w:ascii="Arial" w:hAnsi="Arial" w:cs="Arial"/>
        </w:rPr>
      </w:pPr>
      <w:r>
        <w:rPr>
          <w:rFonts w:ascii="Arial" w:hAnsi="Arial" w:cs="Arial"/>
        </w:rPr>
        <w:t>La Declaración se realizará Resolución fundada del organismo de aplicación.</w:t>
      </w:r>
    </w:p>
    <w:p w14:paraId="18BBB57E" w14:textId="77777777" w:rsidR="00CE586E" w:rsidRDefault="00CE586E" w:rsidP="00CE586E">
      <w:pPr>
        <w:jc w:val="both"/>
        <w:rPr>
          <w:rFonts w:ascii="Arial" w:hAnsi="Arial" w:cs="Arial"/>
        </w:rPr>
      </w:pPr>
    </w:p>
    <w:p w14:paraId="742E5832" w14:textId="77777777" w:rsidR="00CE586E" w:rsidRDefault="00CE586E" w:rsidP="00CE586E">
      <w:pPr>
        <w:jc w:val="both"/>
        <w:rPr>
          <w:rFonts w:ascii="Arial" w:hAnsi="Arial" w:cs="Arial"/>
        </w:rPr>
      </w:pPr>
      <w:r w:rsidRPr="00F775A1">
        <w:rPr>
          <w:rFonts w:ascii="Arial" w:hAnsi="Arial" w:cs="Arial"/>
          <w:b/>
        </w:rPr>
        <w:t>Artículo 3</w:t>
      </w:r>
      <w:r>
        <w:rPr>
          <w:rFonts w:ascii="Arial" w:hAnsi="Arial" w:cs="Arial"/>
        </w:rPr>
        <w:t>°</w:t>
      </w:r>
      <w:r w:rsidR="00F775A1">
        <w:rPr>
          <w:rFonts w:ascii="Arial" w:hAnsi="Arial" w:cs="Arial"/>
        </w:rPr>
        <w:t>.</w:t>
      </w:r>
      <w:r>
        <w:rPr>
          <w:rFonts w:ascii="Arial" w:hAnsi="Arial" w:cs="Arial"/>
        </w:rPr>
        <w:t xml:space="preserve"> Dispónese que</w:t>
      </w:r>
      <w:r w:rsidR="00F775A1">
        <w:rPr>
          <w:rFonts w:ascii="Arial" w:hAnsi="Arial" w:cs="Arial"/>
        </w:rPr>
        <w:t xml:space="preserve"> todos</w:t>
      </w:r>
      <w:r>
        <w:rPr>
          <w:rFonts w:ascii="Arial" w:hAnsi="Arial" w:cs="Arial"/>
        </w:rPr>
        <w:t xml:space="preserve"> aquellos declarados en emergencia económica por Resolución del organismo de aplicación en un todo de acuerdo con artículos precedentes podrán </w:t>
      </w:r>
      <w:r w:rsidR="00797B1F">
        <w:rPr>
          <w:rFonts w:ascii="Arial" w:hAnsi="Arial" w:cs="Arial"/>
        </w:rPr>
        <w:t>ser beneficiarios de</w:t>
      </w:r>
    </w:p>
    <w:p w14:paraId="30FA6390" w14:textId="77777777" w:rsidR="00797B1F" w:rsidRDefault="00797B1F" w:rsidP="00CE586E">
      <w:pPr>
        <w:jc w:val="both"/>
        <w:rPr>
          <w:rFonts w:ascii="Arial" w:hAnsi="Arial" w:cs="Arial"/>
        </w:rPr>
      </w:pPr>
    </w:p>
    <w:p w14:paraId="10CA4649" w14:textId="77777777" w:rsidR="00797B1F" w:rsidRDefault="00797B1F" w:rsidP="00797B1F">
      <w:pPr>
        <w:numPr>
          <w:ilvl w:val="0"/>
          <w:numId w:val="3"/>
        </w:numPr>
        <w:jc w:val="both"/>
        <w:rPr>
          <w:rFonts w:ascii="Arial" w:hAnsi="Arial" w:cs="Arial"/>
        </w:rPr>
      </w:pPr>
      <w:r>
        <w:rPr>
          <w:rFonts w:ascii="Arial" w:hAnsi="Arial" w:cs="Arial"/>
        </w:rPr>
        <w:t xml:space="preserve">PRORROGA EN PAGO DE IMPUESTOS </w:t>
      </w:r>
    </w:p>
    <w:p w14:paraId="3AF7101F" w14:textId="77777777" w:rsidR="00797B1F" w:rsidRDefault="00797B1F" w:rsidP="00797B1F">
      <w:pPr>
        <w:jc w:val="both"/>
        <w:rPr>
          <w:rFonts w:ascii="Arial" w:hAnsi="Arial" w:cs="Arial"/>
        </w:rPr>
      </w:pPr>
    </w:p>
    <w:p w14:paraId="3332588B" w14:textId="77777777" w:rsidR="00797B1F" w:rsidRDefault="00797B1F" w:rsidP="00797B1F">
      <w:pPr>
        <w:numPr>
          <w:ilvl w:val="0"/>
          <w:numId w:val="4"/>
        </w:numPr>
        <w:jc w:val="both"/>
        <w:rPr>
          <w:rFonts w:ascii="Arial" w:hAnsi="Arial" w:cs="Arial"/>
        </w:rPr>
      </w:pPr>
      <w:r>
        <w:rPr>
          <w:rFonts w:ascii="Arial" w:hAnsi="Arial" w:cs="Arial"/>
        </w:rPr>
        <w:t xml:space="preserve">-a1) </w:t>
      </w:r>
      <w:r w:rsidRPr="00797B1F">
        <w:rPr>
          <w:rFonts w:ascii="Arial" w:hAnsi="Arial" w:cs="Arial"/>
        </w:rPr>
        <w:t xml:space="preserve">Prórroga del vencimiento para el pago del Impuesto sobre los Ingresos Brutos de contribuyentes del Régimen General y Régimen Simplificado-Locales- devengados en los meses de marzo, abril </w:t>
      </w:r>
      <w:r>
        <w:rPr>
          <w:rFonts w:ascii="Arial" w:hAnsi="Arial" w:cs="Arial"/>
        </w:rPr>
        <w:t>y mayo del corriente año.</w:t>
      </w:r>
    </w:p>
    <w:p w14:paraId="2D7B99D3" w14:textId="77777777" w:rsidR="008D467D" w:rsidRDefault="008D467D" w:rsidP="004C4F4C">
      <w:pPr>
        <w:numPr>
          <w:ilvl w:val="0"/>
          <w:numId w:val="4"/>
        </w:numPr>
        <w:jc w:val="both"/>
        <w:rPr>
          <w:rFonts w:ascii="Arial" w:hAnsi="Arial" w:cs="Arial"/>
        </w:rPr>
      </w:pPr>
      <w:r w:rsidRPr="008D467D">
        <w:rPr>
          <w:rFonts w:ascii="Arial" w:hAnsi="Arial" w:cs="Arial"/>
        </w:rPr>
        <w:t>-a2) Prórroga en el vencimiento del Impuesto Inmobiliario a los inmuebles en donde se ejerza la actividad de gastronomía y de hotelería, del 3° al 5° anticipo del Impuesto Inmobiliario Urbano y 2° y 3° anticipo del Impuesto Inmobiliario Rural y Subrural</w:t>
      </w:r>
      <w:r>
        <w:rPr>
          <w:rFonts w:ascii="Arial" w:hAnsi="Arial" w:cs="Arial"/>
        </w:rPr>
        <w:t>.</w:t>
      </w:r>
    </w:p>
    <w:p w14:paraId="79C8F882" w14:textId="77777777" w:rsidR="00F775A1" w:rsidRDefault="00F775A1" w:rsidP="00F775A1">
      <w:pPr>
        <w:jc w:val="both"/>
        <w:rPr>
          <w:rFonts w:ascii="Arial" w:hAnsi="Arial" w:cs="Arial"/>
        </w:rPr>
      </w:pPr>
    </w:p>
    <w:p w14:paraId="2DF290A8" w14:textId="77777777" w:rsidR="00F775A1" w:rsidRDefault="00F775A1" w:rsidP="00F775A1">
      <w:pPr>
        <w:jc w:val="both"/>
        <w:rPr>
          <w:rFonts w:ascii="Arial" w:hAnsi="Arial" w:cs="Arial"/>
        </w:rPr>
      </w:pPr>
    </w:p>
    <w:p w14:paraId="4DA45991" w14:textId="77777777" w:rsidR="00F775A1" w:rsidRDefault="00F775A1" w:rsidP="00F775A1">
      <w:pPr>
        <w:jc w:val="both"/>
        <w:rPr>
          <w:rFonts w:ascii="Arial" w:hAnsi="Arial" w:cs="Arial"/>
        </w:rPr>
      </w:pPr>
    </w:p>
    <w:p w14:paraId="350CF607" w14:textId="77777777" w:rsidR="008D467D" w:rsidRDefault="008D467D" w:rsidP="008D467D">
      <w:pPr>
        <w:jc w:val="both"/>
        <w:rPr>
          <w:rFonts w:ascii="Arial" w:hAnsi="Arial" w:cs="Arial"/>
        </w:rPr>
      </w:pPr>
    </w:p>
    <w:p w14:paraId="4D474907" w14:textId="77777777" w:rsidR="008D467D" w:rsidRDefault="008D467D" w:rsidP="008D467D">
      <w:pPr>
        <w:numPr>
          <w:ilvl w:val="0"/>
          <w:numId w:val="3"/>
        </w:numPr>
        <w:jc w:val="both"/>
        <w:rPr>
          <w:rFonts w:ascii="Arial" w:hAnsi="Arial" w:cs="Arial"/>
        </w:rPr>
      </w:pPr>
      <w:r>
        <w:rPr>
          <w:rFonts w:ascii="Arial" w:hAnsi="Arial" w:cs="Arial"/>
        </w:rPr>
        <w:t xml:space="preserve">EXCECIONES </w:t>
      </w:r>
      <w:r w:rsidR="00F775A1">
        <w:rPr>
          <w:rFonts w:ascii="Arial" w:hAnsi="Arial" w:cs="Arial"/>
        </w:rPr>
        <w:t xml:space="preserve">y DESCUENTOS </w:t>
      </w:r>
      <w:r>
        <w:rPr>
          <w:rFonts w:ascii="Arial" w:hAnsi="Arial" w:cs="Arial"/>
        </w:rPr>
        <w:t>DEL PAGO DE IMPUESTOS</w:t>
      </w:r>
    </w:p>
    <w:p w14:paraId="42C96D41" w14:textId="77777777" w:rsidR="008D467D" w:rsidRDefault="008D467D" w:rsidP="008D467D">
      <w:pPr>
        <w:jc w:val="both"/>
        <w:rPr>
          <w:rFonts w:ascii="Arial" w:hAnsi="Arial" w:cs="Arial"/>
        </w:rPr>
      </w:pPr>
    </w:p>
    <w:p w14:paraId="44713D0A" w14:textId="77777777" w:rsidR="00F775A1" w:rsidRDefault="008D467D" w:rsidP="00F775A1">
      <w:pPr>
        <w:numPr>
          <w:ilvl w:val="0"/>
          <w:numId w:val="4"/>
        </w:numPr>
        <w:jc w:val="both"/>
        <w:rPr>
          <w:rFonts w:ascii="Arial" w:hAnsi="Arial" w:cs="Arial"/>
        </w:rPr>
      </w:pPr>
      <w:r>
        <w:rPr>
          <w:rFonts w:ascii="Arial" w:hAnsi="Arial" w:cs="Arial"/>
        </w:rPr>
        <w:t xml:space="preserve">-b1) </w:t>
      </w:r>
      <w:r w:rsidR="00F775A1" w:rsidRPr="00F775A1">
        <w:rPr>
          <w:rFonts w:ascii="Arial" w:hAnsi="Arial" w:cs="Arial"/>
        </w:rPr>
        <w:t xml:space="preserve">Exención del impuesto sobre los Ingresos Brutos por los meses de junio, julio y agosto del año 2020. </w:t>
      </w:r>
    </w:p>
    <w:p w14:paraId="473F8E16" w14:textId="77777777" w:rsidR="00F775A1" w:rsidRDefault="00F775A1" w:rsidP="00F775A1">
      <w:pPr>
        <w:numPr>
          <w:ilvl w:val="0"/>
          <w:numId w:val="4"/>
        </w:numPr>
        <w:jc w:val="both"/>
        <w:rPr>
          <w:rFonts w:ascii="Arial" w:hAnsi="Arial" w:cs="Arial"/>
        </w:rPr>
      </w:pPr>
      <w:r>
        <w:rPr>
          <w:rFonts w:ascii="Arial" w:hAnsi="Arial" w:cs="Arial"/>
        </w:rPr>
        <w:t>-b2) Descuento del</w:t>
      </w:r>
      <w:r w:rsidRPr="00F775A1">
        <w:rPr>
          <w:rFonts w:ascii="Arial" w:hAnsi="Arial" w:cs="Arial"/>
        </w:rPr>
        <w:t xml:space="preserve"> 50% del Impuesto Inmobiliario a los propietarios de los inmuebles en donde se ejerza la actividad de gastronomía, de hotelería y a quienes acrediten que, sin ser propietarios, tienen a su cargo el pago de dicho tributo, para el 3° al 5° anticipo del Impuesto Inmobiliario Urbano y 2° y 3° anticipo del Impuesto Inmobiliario Rural y Subrural</w:t>
      </w:r>
    </w:p>
    <w:p w14:paraId="6C3AB995" w14:textId="77777777" w:rsidR="00F775A1" w:rsidRDefault="00F775A1" w:rsidP="00F775A1">
      <w:pPr>
        <w:jc w:val="both"/>
        <w:rPr>
          <w:rFonts w:ascii="Arial" w:hAnsi="Arial" w:cs="Arial"/>
        </w:rPr>
      </w:pPr>
    </w:p>
    <w:p w14:paraId="23EE6FEF" w14:textId="77777777" w:rsidR="00F775A1" w:rsidRDefault="00F775A1" w:rsidP="00F775A1">
      <w:pPr>
        <w:numPr>
          <w:ilvl w:val="0"/>
          <w:numId w:val="3"/>
        </w:numPr>
        <w:jc w:val="both"/>
        <w:rPr>
          <w:rFonts w:ascii="Arial" w:hAnsi="Arial" w:cs="Arial"/>
        </w:rPr>
      </w:pPr>
      <w:r>
        <w:rPr>
          <w:rFonts w:ascii="Arial" w:hAnsi="Arial" w:cs="Arial"/>
        </w:rPr>
        <w:t xml:space="preserve">FORMA DE PAGO </w:t>
      </w:r>
    </w:p>
    <w:p w14:paraId="0D48DF65" w14:textId="77777777" w:rsidR="00F775A1" w:rsidRDefault="00F775A1" w:rsidP="00F775A1">
      <w:pPr>
        <w:jc w:val="both"/>
        <w:rPr>
          <w:rFonts w:ascii="Arial" w:hAnsi="Arial" w:cs="Arial"/>
        </w:rPr>
      </w:pPr>
    </w:p>
    <w:p w14:paraId="3FAEE8AD" w14:textId="77777777" w:rsidR="00F775A1" w:rsidRDefault="00F775A1" w:rsidP="00F775A1">
      <w:pPr>
        <w:numPr>
          <w:ilvl w:val="0"/>
          <w:numId w:val="4"/>
        </w:numPr>
        <w:jc w:val="both"/>
        <w:rPr>
          <w:rFonts w:ascii="Arial" w:hAnsi="Arial" w:cs="Arial"/>
        </w:rPr>
      </w:pPr>
      <w:r w:rsidRPr="00F775A1">
        <w:rPr>
          <w:rFonts w:ascii="Arial" w:hAnsi="Arial" w:cs="Arial"/>
        </w:rPr>
        <w:t>Dispónese crear el Plan Especial Opcional de Facilidades de Pagos de hasta doce (12) cuotas mensuales sin interés, para el pago de los impuestos prorrogados de IIBB. El vencimiento de la primera cuota operará a los 90 días del me</w:t>
      </w:r>
      <w:r>
        <w:rPr>
          <w:rFonts w:ascii="Arial" w:hAnsi="Arial" w:cs="Arial"/>
        </w:rPr>
        <w:t>s en que se formalice el plan, autorizando a ATER a suscribir los planes y documentación correspondiente.</w:t>
      </w:r>
    </w:p>
    <w:p w14:paraId="34211D86" w14:textId="77777777" w:rsidR="007107EF" w:rsidRDefault="007107EF" w:rsidP="007107EF">
      <w:pPr>
        <w:jc w:val="both"/>
        <w:rPr>
          <w:rFonts w:ascii="Arial" w:hAnsi="Arial" w:cs="Arial"/>
        </w:rPr>
      </w:pPr>
    </w:p>
    <w:p w14:paraId="75766E00" w14:textId="77777777" w:rsidR="007107EF" w:rsidRDefault="007107EF" w:rsidP="007107EF">
      <w:pPr>
        <w:numPr>
          <w:ilvl w:val="0"/>
          <w:numId w:val="3"/>
        </w:numPr>
        <w:jc w:val="both"/>
        <w:rPr>
          <w:rFonts w:ascii="Arial" w:hAnsi="Arial" w:cs="Arial"/>
        </w:rPr>
      </w:pPr>
      <w:r>
        <w:rPr>
          <w:rFonts w:ascii="Arial" w:hAnsi="Arial" w:cs="Arial"/>
        </w:rPr>
        <w:t>SUBSIDIOS PARA PAGO DE SERVICIOS DE LUZ Y GAS</w:t>
      </w:r>
    </w:p>
    <w:p w14:paraId="5B66EB69" w14:textId="77777777" w:rsidR="007107EF" w:rsidRDefault="007107EF" w:rsidP="007107EF">
      <w:pPr>
        <w:jc w:val="both"/>
        <w:rPr>
          <w:rFonts w:ascii="Arial" w:hAnsi="Arial" w:cs="Arial"/>
        </w:rPr>
      </w:pPr>
    </w:p>
    <w:p w14:paraId="16620D43" w14:textId="77777777" w:rsidR="007107EF" w:rsidRPr="00F775A1" w:rsidRDefault="007107EF" w:rsidP="007107EF">
      <w:pPr>
        <w:numPr>
          <w:ilvl w:val="0"/>
          <w:numId w:val="4"/>
        </w:numPr>
        <w:jc w:val="both"/>
        <w:rPr>
          <w:rFonts w:ascii="Arial" w:hAnsi="Arial" w:cs="Arial"/>
        </w:rPr>
      </w:pPr>
      <w:r>
        <w:rPr>
          <w:rFonts w:ascii="Arial" w:hAnsi="Arial" w:cs="Arial"/>
        </w:rPr>
        <w:t>El Gobierno de la Provincia de ENTRE RIOS subsidiará las facturas de luz y gas de los inmuebles donde se ejerza la actividad de gastronomía y hotelería (Incisos 2 y 4 Art. 2) en un 50% por los meses de JUNIO – JULIO – AGOSTO, los que serán financiados por el FONDO especial creado en la presente en Artícul</w:t>
      </w:r>
      <w:r w:rsidR="00DB0F3C">
        <w:rPr>
          <w:rFonts w:ascii="Arial" w:hAnsi="Arial" w:cs="Arial"/>
        </w:rPr>
        <w:t>o 4.</w:t>
      </w:r>
    </w:p>
    <w:p w14:paraId="4AA38F51" w14:textId="77777777" w:rsidR="00F775A1" w:rsidRDefault="00F775A1" w:rsidP="00F775A1">
      <w:pPr>
        <w:jc w:val="both"/>
        <w:rPr>
          <w:rFonts w:ascii="Arial" w:hAnsi="Arial" w:cs="Arial"/>
        </w:rPr>
      </w:pPr>
    </w:p>
    <w:p w14:paraId="7FBDF74E" w14:textId="77777777" w:rsidR="00DB0F3C" w:rsidRDefault="00DB0F3C" w:rsidP="00DB0F3C">
      <w:pPr>
        <w:jc w:val="both"/>
        <w:rPr>
          <w:rFonts w:ascii="Arial" w:hAnsi="Arial" w:cs="Arial"/>
        </w:rPr>
      </w:pPr>
      <w:r w:rsidRPr="00F775A1">
        <w:rPr>
          <w:rFonts w:ascii="Arial" w:hAnsi="Arial" w:cs="Arial"/>
        </w:rPr>
        <w:t>Para que se torne operativa la exención</w:t>
      </w:r>
      <w:r>
        <w:rPr>
          <w:rFonts w:ascii="Arial" w:hAnsi="Arial" w:cs="Arial"/>
        </w:rPr>
        <w:t xml:space="preserve"> y/o subsidios para servicios</w:t>
      </w:r>
      <w:r w:rsidRPr="00F775A1">
        <w:rPr>
          <w:rFonts w:ascii="Arial" w:hAnsi="Arial" w:cs="Arial"/>
        </w:rPr>
        <w:t xml:space="preserve"> la parte interesada deberá cumplir con los requisitos que a tal fin determine </w:t>
      </w:r>
      <w:r>
        <w:rPr>
          <w:rFonts w:ascii="Arial" w:hAnsi="Arial" w:cs="Arial"/>
        </w:rPr>
        <w:t>la autoridad de aplicación</w:t>
      </w:r>
    </w:p>
    <w:p w14:paraId="35C56638" w14:textId="77777777" w:rsidR="00DB0F3C" w:rsidRDefault="00DB0F3C" w:rsidP="00DB0F3C">
      <w:pPr>
        <w:jc w:val="both"/>
        <w:rPr>
          <w:rFonts w:ascii="Arial" w:hAnsi="Arial" w:cs="Arial"/>
        </w:rPr>
      </w:pPr>
    </w:p>
    <w:p w14:paraId="70EF47FC" w14:textId="77777777" w:rsidR="00DB0F3C" w:rsidRDefault="00DB0F3C" w:rsidP="00DB0F3C">
      <w:pPr>
        <w:jc w:val="both"/>
        <w:rPr>
          <w:rFonts w:ascii="Arial" w:hAnsi="Arial" w:cs="Arial"/>
        </w:rPr>
      </w:pPr>
      <w:r>
        <w:rPr>
          <w:rFonts w:ascii="Arial" w:hAnsi="Arial" w:cs="Arial"/>
        </w:rPr>
        <w:t>Los beneficiarios de la presente deber</w:t>
      </w:r>
      <w:r w:rsidR="008C1B83">
        <w:rPr>
          <w:rFonts w:ascii="Arial" w:hAnsi="Arial" w:cs="Arial"/>
        </w:rPr>
        <w:t xml:space="preserve">án comprometerse a mantener la planta actual de trabajadores, siendo, en cualquier situación su achicamiento, causal de caducidad en forma inmediata de los beneficios otorgados por la aplicación de la presente. </w:t>
      </w:r>
    </w:p>
    <w:p w14:paraId="26A97FFD" w14:textId="77777777" w:rsidR="00DB0F3C" w:rsidRDefault="00DB0F3C" w:rsidP="00F775A1">
      <w:pPr>
        <w:jc w:val="both"/>
        <w:rPr>
          <w:rFonts w:ascii="Arial" w:hAnsi="Arial" w:cs="Arial"/>
          <w:b/>
        </w:rPr>
      </w:pPr>
    </w:p>
    <w:p w14:paraId="4F9FE70C" w14:textId="77777777" w:rsidR="00DB0F3C" w:rsidRDefault="00DB0F3C" w:rsidP="00F775A1">
      <w:pPr>
        <w:jc w:val="both"/>
        <w:rPr>
          <w:rFonts w:ascii="Arial" w:hAnsi="Arial" w:cs="Arial"/>
          <w:b/>
        </w:rPr>
      </w:pPr>
    </w:p>
    <w:p w14:paraId="446FA4E8" w14:textId="77777777" w:rsidR="00F775A1" w:rsidRDefault="007107EF" w:rsidP="00F775A1">
      <w:pPr>
        <w:jc w:val="both"/>
        <w:rPr>
          <w:rFonts w:ascii="Arial" w:hAnsi="Arial" w:cs="Arial"/>
        </w:rPr>
      </w:pPr>
      <w:r w:rsidRPr="007107EF">
        <w:rPr>
          <w:rFonts w:ascii="Arial" w:hAnsi="Arial" w:cs="Arial"/>
          <w:b/>
        </w:rPr>
        <w:t>Artículo 4°</w:t>
      </w:r>
      <w:r w:rsidR="00DB0F3C">
        <w:rPr>
          <w:rFonts w:ascii="Arial" w:hAnsi="Arial" w:cs="Arial"/>
        </w:rPr>
        <w:t xml:space="preserve"> </w:t>
      </w:r>
      <w:r>
        <w:rPr>
          <w:rFonts w:ascii="Arial" w:hAnsi="Arial" w:cs="Arial"/>
        </w:rPr>
        <w:t xml:space="preserve">Créase el FONDO ESPECIAL PARA LA EMERGENCIA DEL SECTOR TURISMO, afectando a tal fin el total de los recursos provenientes por pago de REGALIA DE RECURSOS HIDRICOS y Otros; y las utilidades </w:t>
      </w:r>
      <w:r w:rsidR="00DB0F3C">
        <w:rPr>
          <w:rFonts w:ascii="Arial" w:hAnsi="Arial" w:cs="Arial"/>
        </w:rPr>
        <w:t xml:space="preserve">netas </w:t>
      </w:r>
      <w:r>
        <w:rPr>
          <w:rFonts w:ascii="Arial" w:hAnsi="Arial" w:cs="Arial"/>
        </w:rPr>
        <w:t xml:space="preserve">del EJERCICIO 2019 de la </w:t>
      </w:r>
      <w:r w:rsidR="00DB0F3C">
        <w:rPr>
          <w:rFonts w:ascii="Arial" w:hAnsi="Arial" w:cs="Arial"/>
        </w:rPr>
        <w:t xml:space="preserve">ENERSA en el porcentaje de acciones correspondientes al estado entrerriano y todo otro recurso que ingresen a la provincia con destino a la actividad turística. </w:t>
      </w:r>
    </w:p>
    <w:p w14:paraId="0A162131" w14:textId="77777777" w:rsidR="008C1B83" w:rsidRDefault="008C1B83" w:rsidP="00F775A1">
      <w:pPr>
        <w:jc w:val="both"/>
        <w:rPr>
          <w:rFonts w:ascii="Arial" w:hAnsi="Arial" w:cs="Arial"/>
        </w:rPr>
      </w:pPr>
    </w:p>
    <w:p w14:paraId="0E03FE2A" w14:textId="77777777" w:rsidR="00F775A1" w:rsidRDefault="008C1B83" w:rsidP="00393202">
      <w:pPr>
        <w:jc w:val="both"/>
        <w:rPr>
          <w:rFonts w:ascii="Arial" w:hAnsi="Arial" w:cs="Arial"/>
        </w:rPr>
      </w:pPr>
      <w:r w:rsidRPr="008C1B83">
        <w:rPr>
          <w:rFonts w:ascii="Arial" w:hAnsi="Arial" w:cs="Arial"/>
          <w:b/>
        </w:rPr>
        <w:t>Artículo 5°</w:t>
      </w:r>
      <w:r>
        <w:rPr>
          <w:rFonts w:ascii="Arial" w:hAnsi="Arial" w:cs="Arial"/>
        </w:rPr>
        <w:t xml:space="preserve"> - Disponer por parte del MINISTERIO DE PRODUCCION Y TURISMO y la participación de las cámaras del sector la pronta integración del</w:t>
      </w:r>
      <w:r w:rsidR="00FF39F4">
        <w:rPr>
          <w:rFonts w:ascii="Arial" w:hAnsi="Arial" w:cs="Arial"/>
        </w:rPr>
        <w:t xml:space="preserve"> ENTE MIXTO DE TURISMO </w:t>
      </w:r>
      <w:r>
        <w:rPr>
          <w:rFonts w:ascii="Arial" w:hAnsi="Arial" w:cs="Arial"/>
        </w:rPr>
        <w:t xml:space="preserve">el que deberá elaborar un Plan estratégico </w:t>
      </w:r>
      <w:r w:rsidR="00393202">
        <w:rPr>
          <w:rFonts w:ascii="Arial" w:hAnsi="Arial" w:cs="Arial"/>
        </w:rPr>
        <w:t>de emergencia para el sector y gestionar ante el gobierno nacional</w:t>
      </w:r>
      <w:r w:rsidR="00393202" w:rsidRPr="00393202">
        <w:rPr>
          <w:rFonts w:ascii="Arial" w:hAnsi="Arial" w:cs="Arial"/>
        </w:rPr>
        <w:t>, exenciones impositivas, diferimientos de impuestos, desgravaciones impositivas y cualquier otro beneficio que hubieren pr</w:t>
      </w:r>
      <w:r w:rsidR="00393202">
        <w:rPr>
          <w:rFonts w:ascii="Arial" w:hAnsi="Arial" w:cs="Arial"/>
        </w:rPr>
        <w:t xml:space="preserve">evisto las normas nacionales.  </w:t>
      </w:r>
    </w:p>
    <w:p w14:paraId="4A3A4EEC" w14:textId="77777777" w:rsidR="00FF39F4" w:rsidRPr="00393202" w:rsidRDefault="00FF39F4" w:rsidP="00393202">
      <w:pPr>
        <w:jc w:val="both"/>
        <w:rPr>
          <w:rFonts w:ascii="Arial" w:hAnsi="Arial" w:cs="Arial"/>
        </w:rPr>
      </w:pPr>
    </w:p>
    <w:p w14:paraId="39F2A062" w14:textId="77777777" w:rsidR="00F775A1" w:rsidRDefault="008C1B83" w:rsidP="00F775A1">
      <w:pPr>
        <w:jc w:val="both"/>
        <w:rPr>
          <w:rFonts w:ascii="Arial" w:hAnsi="Arial" w:cs="Arial"/>
        </w:rPr>
      </w:pPr>
      <w:r w:rsidRPr="00393202">
        <w:rPr>
          <w:rFonts w:ascii="Arial" w:hAnsi="Arial" w:cs="Arial"/>
          <w:b/>
        </w:rPr>
        <w:t>Artículo 6° -</w:t>
      </w:r>
      <w:r>
        <w:rPr>
          <w:rFonts w:ascii="Arial" w:hAnsi="Arial" w:cs="Arial"/>
        </w:rPr>
        <w:t xml:space="preserve"> Invitar a los municipios a adherir a la presente </w:t>
      </w:r>
      <w:r w:rsidR="00393202">
        <w:rPr>
          <w:rFonts w:ascii="Arial" w:hAnsi="Arial" w:cs="Arial"/>
        </w:rPr>
        <w:t xml:space="preserve">otorgando beneficios en tasas a los prestadores del sector. </w:t>
      </w:r>
    </w:p>
    <w:p w14:paraId="2BFF919D" w14:textId="77777777" w:rsidR="00F775A1" w:rsidRDefault="00F775A1" w:rsidP="00F775A1">
      <w:pPr>
        <w:jc w:val="both"/>
        <w:rPr>
          <w:rFonts w:ascii="Arial" w:hAnsi="Arial" w:cs="Arial"/>
        </w:rPr>
      </w:pPr>
    </w:p>
    <w:p w14:paraId="06820EDA" w14:textId="77777777" w:rsidR="00F775A1" w:rsidRDefault="00F775A1" w:rsidP="00F775A1">
      <w:pPr>
        <w:jc w:val="both"/>
        <w:rPr>
          <w:rFonts w:ascii="Arial" w:hAnsi="Arial" w:cs="Arial"/>
        </w:rPr>
      </w:pPr>
    </w:p>
    <w:p w14:paraId="46807A5E" w14:textId="77777777" w:rsidR="00F775A1" w:rsidRDefault="00F775A1" w:rsidP="00F775A1">
      <w:pPr>
        <w:jc w:val="both"/>
        <w:rPr>
          <w:rFonts w:ascii="Arial" w:hAnsi="Arial" w:cs="Arial"/>
        </w:rPr>
      </w:pPr>
    </w:p>
    <w:p w14:paraId="49E33254" w14:textId="77777777" w:rsidR="00F775A1" w:rsidRDefault="00F775A1" w:rsidP="00F775A1">
      <w:pPr>
        <w:jc w:val="both"/>
        <w:rPr>
          <w:rFonts w:ascii="Arial" w:hAnsi="Arial" w:cs="Arial"/>
        </w:rPr>
      </w:pPr>
    </w:p>
    <w:sectPr w:rsidR="00F775A1" w:rsidSect="00F775A1">
      <w:footerReference w:type="default" r:id="rId7"/>
      <w:pgSz w:w="11906" w:h="16838" w:code="9"/>
      <w:pgMar w:top="1417" w:right="1274" w:bottom="1417" w:left="170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6EF7C" w14:textId="77777777" w:rsidR="003E48DE" w:rsidRDefault="003E48DE" w:rsidP="00F775A1">
      <w:r>
        <w:separator/>
      </w:r>
    </w:p>
  </w:endnote>
  <w:endnote w:type="continuationSeparator" w:id="0">
    <w:p w14:paraId="0F657E85" w14:textId="77777777" w:rsidR="003E48DE" w:rsidRDefault="003E48DE" w:rsidP="00F7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D260E" w14:textId="77777777" w:rsidR="00F775A1" w:rsidRDefault="00F775A1">
    <w:pPr>
      <w:pStyle w:val="Piedepgina"/>
      <w:jc w:val="center"/>
    </w:pPr>
    <w:r>
      <w:fldChar w:fldCharType="begin"/>
    </w:r>
    <w:r>
      <w:instrText>PAGE   \* MERGEFORMAT</w:instrText>
    </w:r>
    <w:r>
      <w:fldChar w:fldCharType="separate"/>
    </w:r>
    <w:r w:rsidR="00FF39F4">
      <w:rPr>
        <w:noProof/>
      </w:rPr>
      <w:t>4</w:t>
    </w:r>
    <w:r>
      <w:fldChar w:fldCharType="end"/>
    </w:r>
  </w:p>
  <w:p w14:paraId="7169AFB0" w14:textId="77777777" w:rsidR="00F775A1" w:rsidRDefault="00F775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805B" w14:textId="77777777" w:rsidR="003E48DE" w:rsidRDefault="003E48DE" w:rsidP="00F775A1">
      <w:r>
        <w:separator/>
      </w:r>
    </w:p>
  </w:footnote>
  <w:footnote w:type="continuationSeparator" w:id="0">
    <w:p w14:paraId="452E71AE" w14:textId="77777777" w:rsidR="003E48DE" w:rsidRDefault="003E48DE" w:rsidP="00F7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13428"/>
    <w:multiLevelType w:val="hybridMultilevel"/>
    <w:tmpl w:val="1FDA64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5080388"/>
    <w:multiLevelType w:val="hybridMultilevel"/>
    <w:tmpl w:val="D6609B74"/>
    <w:lvl w:ilvl="0" w:tplc="55BC7D42">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8D03CE5"/>
    <w:multiLevelType w:val="hybridMultilevel"/>
    <w:tmpl w:val="BAF856BE"/>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5597925"/>
    <w:multiLevelType w:val="hybridMultilevel"/>
    <w:tmpl w:val="2C02A3B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52"/>
    <w:rsid w:val="0014423D"/>
    <w:rsid w:val="00150071"/>
    <w:rsid w:val="00393202"/>
    <w:rsid w:val="003E48DE"/>
    <w:rsid w:val="0045586D"/>
    <w:rsid w:val="004C4F4C"/>
    <w:rsid w:val="007107EF"/>
    <w:rsid w:val="00797B1F"/>
    <w:rsid w:val="008B25C7"/>
    <w:rsid w:val="008B7C8E"/>
    <w:rsid w:val="008C1B83"/>
    <w:rsid w:val="008D467D"/>
    <w:rsid w:val="009C125A"/>
    <w:rsid w:val="00CE586E"/>
    <w:rsid w:val="00DB0F3C"/>
    <w:rsid w:val="00E15F52"/>
    <w:rsid w:val="00E4549A"/>
    <w:rsid w:val="00ED606F"/>
    <w:rsid w:val="00F775A1"/>
    <w:rsid w:val="00FA3F7B"/>
    <w:rsid w:val="00FD78D5"/>
    <w:rsid w:val="00FE36F7"/>
    <w:rsid w:val="00FF39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B8C44"/>
  <w15:chartTrackingRefBased/>
  <w15:docId w15:val="{72F83904-7EC0-4C0D-9290-4FD4983C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775A1"/>
    <w:pPr>
      <w:tabs>
        <w:tab w:val="center" w:pos="4252"/>
        <w:tab w:val="right" w:pos="8504"/>
      </w:tabs>
    </w:pPr>
  </w:style>
  <w:style w:type="character" w:customStyle="1" w:styleId="EncabezadoCar">
    <w:name w:val="Encabezado Car"/>
    <w:link w:val="Encabezado"/>
    <w:rsid w:val="00F775A1"/>
    <w:rPr>
      <w:sz w:val="24"/>
      <w:szCs w:val="24"/>
      <w:lang w:val="es-ES" w:eastAsia="es-ES"/>
    </w:rPr>
  </w:style>
  <w:style w:type="paragraph" w:styleId="Piedepgina">
    <w:name w:val="footer"/>
    <w:basedOn w:val="Normal"/>
    <w:link w:val="PiedepginaCar"/>
    <w:uiPriority w:val="99"/>
    <w:rsid w:val="00F775A1"/>
    <w:pPr>
      <w:tabs>
        <w:tab w:val="center" w:pos="4252"/>
        <w:tab w:val="right" w:pos="8504"/>
      </w:tabs>
    </w:pPr>
  </w:style>
  <w:style w:type="character" w:customStyle="1" w:styleId="PiedepginaCar">
    <w:name w:val="Pie de página Car"/>
    <w:link w:val="Piedepgina"/>
    <w:uiPriority w:val="99"/>
    <w:rsid w:val="00F775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2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(AGREGADO CASI AL FINAL INC</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(AGREGADO CASI AL FINAL INC</dc:title>
  <dc:subject/>
  <dc:creator>Dr. RICARDO LA BARBA</dc:creator>
  <cp:keywords/>
  <dc:description/>
  <cp:lastModifiedBy>Romina Nicola</cp:lastModifiedBy>
  <cp:revision>2</cp:revision>
  <dcterms:created xsi:type="dcterms:W3CDTF">2020-06-16T13:34:00Z</dcterms:created>
  <dcterms:modified xsi:type="dcterms:W3CDTF">2020-06-16T13:34:00Z</dcterms:modified>
</cp:coreProperties>
</file>