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C197F" w14:textId="77777777" w:rsidR="00102992" w:rsidRDefault="00102992">
      <w:pPr>
        <w:pStyle w:val="Textoindependiente"/>
        <w:jc w:val="center"/>
        <w:rPr>
          <w:spacing w:val="-6"/>
          <w:sz w:val="22"/>
        </w:rPr>
      </w:pPr>
      <w:r>
        <w:rPr>
          <w:spacing w:val="-6"/>
          <w:sz w:val="22"/>
        </w:rPr>
        <w:t>LA LEGISLATURA DE LA PROVINCIA DE ENTRE RÍOS SANCIONA CON FUERZA DE</w:t>
      </w:r>
    </w:p>
    <w:p w14:paraId="252AF4CE" w14:textId="77777777" w:rsidR="00102992" w:rsidRDefault="00102992">
      <w:pPr>
        <w:jc w:val="center"/>
        <w:rPr>
          <w:rFonts w:ascii="Arial" w:hAnsi="Arial"/>
          <w:b/>
        </w:rPr>
      </w:pPr>
    </w:p>
    <w:p w14:paraId="7BFE4A3D" w14:textId="77777777" w:rsidR="00102992" w:rsidRPr="00681A09" w:rsidRDefault="00102992" w:rsidP="00681A09">
      <w:pPr>
        <w:spacing w:after="0" w:line="240" w:lineRule="auto"/>
        <w:jc w:val="center"/>
        <w:rPr>
          <w:rFonts w:ascii="Arial" w:hAnsi="Arial" w:cs="Arial"/>
          <w:b/>
          <w:sz w:val="24"/>
          <w:szCs w:val="24"/>
        </w:rPr>
      </w:pPr>
      <w:r w:rsidRPr="00681A09">
        <w:rPr>
          <w:rFonts w:ascii="Arial" w:hAnsi="Arial" w:cs="Arial"/>
          <w:b/>
          <w:sz w:val="24"/>
          <w:szCs w:val="24"/>
        </w:rPr>
        <w:t>L E Y :</w:t>
      </w:r>
    </w:p>
    <w:p w14:paraId="65730A55" w14:textId="77777777" w:rsidR="00102992" w:rsidRPr="00681A09" w:rsidRDefault="00102992" w:rsidP="00681A09">
      <w:pPr>
        <w:spacing w:after="0" w:line="240" w:lineRule="auto"/>
        <w:jc w:val="both"/>
        <w:rPr>
          <w:rFonts w:ascii="Arial" w:hAnsi="Arial" w:cs="Arial"/>
          <w:sz w:val="24"/>
          <w:szCs w:val="24"/>
        </w:rPr>
      </w:pPr>
    </w:p>
    <w:p w14:paraId="0960489B" w14:textId="77777777" w:rsidR="00102992" w:rsidRPr="00681A09" w:rsidRDefault="00102992" w:rsidP="00681A09">
      <w:pPr>
        <w:spacing w:after="0" w:line="240" w:lineRule="auto"/>
        <w:jc w:val="both"/>
        <w:rPr>
          <w:rFonts w:ascii="Arial" w:hAnsi="Arial" w:cs="Arial"/>
          <w:sz w:val="24"/>
          <w:szCs w:val="24"/>
        </w:rPr>
      </w:pPr>
    </w:p>
    <w:p w14:paraId="4DCE2119" w14:textId="77777777" w:rsidR="00102992" w:rsidRPr="00681A09" w:rsidRDefault="00102992" w:rsidP="006832F2">
      <w:pPr>
        <w:spacing w:after="0" w:line="240" w:lineRule="auto"/>
        <w:jc w:val="both"/>
        <w:rPr>
          <w:rFonts w:ascii="Arial" w:hAnsi="Arial" w:cs="Arial"/>
          <w:sz w:val="24"/>
          <w:szCs w:val="24"/>
        </w:rPr>
      </w:pPr>
    </w:p>
    <w:p w14:paraId="77D89E29" w14:textId="77777777" w:rsidR="00102992" w:rsidRPr="004E31F0" w:rsidRDefault="00102992" w:rsidP="006832F2">
      <w:pPr>
        <w:spacing w:after="0" w:line="240" w:lineRule="auto"/>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r w:rsidRPr="004E31F0">
        <w:rPr>
          <w:rFonts w:ascii="Arial" w:eastAsia="Times New Roman" w:hAnsi="Arial" w:cs="Arial"/>
          <w:sz w:val="24"/>
          <w:szCs w:val="24"/>
        </w:rPr>
        <w:t>Declárese el estado de emergencia pública en materia económica, financiera, fiscal, sanitaria, administrativa, y previsional en el ámbito de la Provincia de Entre Ríos, con el propósito de asegurar el cumplimiento de las funciones inherentes al Estado provincial y la normal prestación de los servicios públicos. Dicho Estado, se extenderá hasta el treinta (30) de junio de 2021, prorrogable por única vez mediante decreto del Poder Ejecutivo Provincial por ciento ochenta (180) días en caso de que a su criterio se manten</w:t>
      </w:r>
      <w:r>
        <w:rPr>
          <w:rFonts w:ascii="Arial" w:eastAsia="Times New Roman" w:hAnsi="Arial" w:cs="Arial"/>
          <w:sz w:val="24"/>
          <w:szCs w:val="24"/>
        </w:rPr>
        <w:t>ga la situación de emergencia.</w:t>
      </w:r>
    </w:p>
    <w:p w14:paraId="4C38822E" w14:textId="77777777" w:rsidR="00102992" w:rsidRPr="004E31F0" w:rsidRDefault="00102992" w:rsidP="006832F2">
      <w:pPr>
        <w:spacing w:after="0" w:line="240" w:lineRule="auto"/>
        <w:jc w:val="both"/>
        <w:rPr>
          <w:rFonts w:ascii="Arial" w:hAnsi="Arial" w:cs="Arial"/>
          <w:sz w:val="24"/>
          <w:szCs w:val="24"/>
        </w:rPr>
      </w:pPr>
    </w:p>
    <w:p w14:paraId="2EE6FF25"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2º.-</w:t>
      </w:r>
      <w:r w:rsidRPr="004E31F0">
        <w:rPr>
          <w:rFonts w:ascii="Arial" w:eastAsia="Times New Roman" w:hAnsi="Arial" w:cs="Arial"/>
          <w:sz w:val="24"/>
          <w:szCs w:val="24"/>
        </w:rPr>
        <w:t xml:space="preserve"> La presente Ley es de orden público y sus alcances se aplicarán a los Municipios adheridos al sistema previsional, a los tres poderes del Estado provincial, incluyendo entes descentralizados, autárquicos, autónomos, empresas y sociedades del Estado, cualquiera sea su dependencia jerárquica y su con</w:t>
      </w:r>
      <w:r>
        <w:rPr>
          <w:rFonts w:ascii="Arial" w:eastAsia="Times New Roman" w:hAnsi="Arial" w:cs="Arial"/>
          <w:sz w:val="24"/>
          <w:szCs w:val="24"/>
        </w:rPr>
        <w:t>formación jurídica estatutaria.</w:t>
      </w:r>
    </w:p>
    <w:p w14:paraId="6ED6FF83" w14:textId="77777777" w:rsidR="00102992" w:rsidRPr="004E31F0" w:rsidRDefault="00102992" w:rsidP="006832F2">
      <w:pPr>
        <w:spacing w:after="0" w:line="240" w:lineRule="auto"/>
        <w:jc w:val="both"/>
        <w:rPr>
          <w:rFonts w:ascii="Arial" w:hAnsi="Arial" w:cs="Arial"/>
          <w:sz w:val="24"/>
          <w:szCs w:val="24"/>
        </w:rPr>
      </w:pPr>
    </w:p>
    <w:p w14:paraId="491532F6"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3º.-</w:t>
      </w:r>
      <w:r w:rsidRPr="004E31F0">
        <w:rPr>
          <w:rFonts w:ascii="Arial" w:eastAsia="Times New Roman" w:hAnsi="Arial" w:cs="Arial"/>
          <w:sz w:val="24"/>
          <w:szCs w:val="24"/>
        </w:rPr>
        <w:t xml:space="preserve"> Establécese los siguientes objetivos, para cuyo cumplimiento el Poder Ejecutivo desplegará sus facultades reglamentarias: </w:t>
      </w:r>
    </w:p>
    <w:p w14:paraId="4D50D046"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sz w:val="24"/>
          <w:szCs w:val="24"/>
        </w:rPr>
        <w:t>a) Asegurar el cumplimiento de funciones inherentes a la Administración de la Provincia de Entre Ríos consistente en el sostenimiento y fortalecimiento de los sistemas de salud, seguridad, los servicios públicos esenciales y el cumplimiento de las obligaciones del Estado de acuerdo al principio de equilibrio presupuestario establecido en al Artículo 35º</w:t>
      </w:r>
      <w:r>
        <w:rPr>
          <w:rFonts w:ascii="Arial" w:eastAsia="Times New Roman" w:hAnsi="Arial" w:cs="Arial"/>
          <w:sz w:val="24"/>
          <w:szCs w:val="24"/>
        </w:rPr>
        <w:t xml:space="preserve"> de la Constitución Provincial.</w:t>
      </w:r>
    </w:p>
    <w:p w14:paraId="3052DD28"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sz w:val="24"/>
          <w:szCs w:val="24"/>
        </w:rPr>
        <w:t xml:space="preserve">b) Procurar a nivel impositivo, un esfuerzo colectivo, en base a la capacidad contributiva en orden a superar la crisis económica imperante en el ámbito provincial. </w:t>
      </w:r>
    </w:p>
    <w:p w14:paraId="75FB0532"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sz w:val="24"/>
          <w:szCs w:val="24"/>
        </w:rPr>
        <w:t xml:space="preserve">c) Fortalecer el carácter solidario, proporcional y equitativo del régimen previsional con la finalidad de asegurar </w:t>
      </w:r>
      <w:r>
        <w:rPr>
          <w:rFonts w:ascii="Arial" w:eastAsia="Times New Roman" w:hAnsi="Arial" w:cs="Arial"/>
          <w:sz w:val="24"/>
          <w:szCs w:val="24"/>
        </w:rPr>
        <w:t>la sustentabilidad del sistema.</w:t>
      </w:r>
    </w:p>
    <w:p w14:paraId="3A033BD0" w14:textId="77777777" w:rsidR="00102992" w:rsidRPr="004E31F0" w:rsidRDefault="00102992" w:rsidP="006832F2">
      <w:pPr>
        <w:spacing w:after="0" w:line="240" w:lineRule="auto"/>
        <w:jc w:val="both"/>
        <w:rPr>
          <w:rFonts w:ascii="Arial" w:hAnsi="Arial" w:cs="Arial"/>
          <w:sz w:val="24"/>
          <w:szCs w:val="24"/>
        </w:rPr>
      </w:pPr>
    </w:p>
    <w:p w14:paraId="291A5CBA"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4º.-</w:t>
      </w:r>
      <w:r w:rsidRPr="004E31F0">
        <w:rPr>
          <w:rFonts w:ascii="Arial" w:eastAsia="Times New Roman" w:hAnsi="Arial" w:cs="Arial"/>
          <w:sz w:val="24"/>
          <w:szCs w:val="24"/>
        </w:rPr>
        <w:t xml:space="preserve"> En razón del estado de emergencia declarado, y con el fin de mantener el sostenimiento del régimen previsional provincial, los aportes personales se calcularán sobre el total de la remuneración liquidada al personal en activi</w:t>
      </w:r>
      <w:r>
        <w:rPr>
          <w:rFonts w:ascii="Arial" w:eastAsia="Times New Roman" w:hAnsi="Arial" w:cs="Arial"/>
          <w:sz w:val="24"/>
          <w:szCs w:val="24"/>
        </w:rPr>
        <w:t>dad según el siguiente esquema:</w:t>
      </w:r>
    </w:p>
    <w:p w14:paraId="73640DF4" w14:textId="77777777" w:rsidR="00102992" w:rsidRPr="004E31F0" w:rsidRDefault="00102992" w:rsidP="006832F2">
      <w:pPr>
        <w:spacing w:after="0" w:line="240" w:lineRule="auto"/>
        <w:jc w:val="both"/>
        <w:rPr>
          <w:rFonts w:ascii="Arial" w:hAnsi="Arial" w:cs="Arial"/>
          <w:sz w:val="24"/>
          <w:szCs w:val="24"/>
        </w:rPr>
      </w:pPr>
    </w:p>
    <w:p w14:paraId="6078474B" w14:textId="77777777" w:rsidR="00102992" w:rsidRDefault="00102992" w:rsidP="006832F2">
      <w:pPr>
        <w:spacing w:after="0" w:line="240" w:lineRule="auto"/>
        <w:jc w:val="both"/>
        <w:rPr>
          <w:rFonts w:ascii="Arial" w:hAnsi="Arial" w:cs="Arial"/>
          <w:sz w:val="24"/>
          <w:szCs w:val="24"/>
        </w:rPr>
      </w:pPr>
    </w:p>
    <w:p w14:paraId="0153F99E" w14:textId="77777777" w:rsidR="006832F2" w:rsidRDefault="006832F2" w:rsidP="006832F2">
      <w:pPr>
        <w:spacing w:after="0" w:line="240" w:lineRule="auto"/>
        <w:jc w:val="both"/>
        <w:rPr>
          <w:rFonts w:ascii="Arial" w:hAnsi="Arial" w:cs="Arial"/>
          <w:sz w:val="24"/>
          <w:szCs w:val="24"/>
        </w:rPr>
      </w:pPr>
    </w:p>
    <w:p w14:paraId="0D9BCF0F" w14:textId="77777777" w:rsidR="006832F2" w:rsidRPr="004E31F0" w:rsidRDefault="006832F2" w:rsidP="006832F2">
      <w:pPr>
        <w:spacing w:after="0" w:line="240" w:lineRule="auto"/>
        <w:jc w:val="both"/>
        <w:rPr>
          <w:rFonts w:ascii="Arial" w:hAnsi="Arial" w:cs="Arial"/>
          <w:sz w:val="24"/>
          <w:szCs w:val="24"/>
        </w:rPr>
      </w:pPr>
    </w:p>
    <w:tbl>
      <w:tblPr>
        <w:tblW w:w="0" w:type="auto"/>
        <w:tblInd w:w="971" w:type="dxa"/>
        <w:tblLayout w:type="fixed"/>
        <w:tblCellMar>
          <w:left w:w="2" w:type="dxa"/>
          <w:right w:w="2" w:type="dxa"/>
        </w:tblCellMar>
        <w:tblLook w:val="0000" w:firstRow="0" w:lastRow="0" w:firstColumn="0" w:lastColumn="0" w:noHBand="0" w:noVBand="0"/>
      </w:tblPr>
      <w:tblGrid>
        <w:gridCol w:w="3678"/>
        <w:gridCol w:w="3592"/>
      </w:tblGrid>
      <w:tr w:rsidR="00102992" w:rsidRPr="004E31F0" w14:paraId="768822AB" w14:textId="77777777" w:rsidTr="005A6F8E">
        <w:trPr>
          <w:trHeight w:val="518"/>
        </w:trPr>
        <w:tc>
          <w:tcPr>
            <w:tcW w:w="3678" w:type="dxa"/>
            <w:tcBorders>
              <w:top w:val="single" w:sz="2" w:space="0" w:color="000000"/>
              <w:left w:val="single" w:sz="2" w:space="0" w:color="000000"/>
              <w:bottom w:val="single" w:sz="2" w:space="0" w:color="000000"/>
            </w:tcBorders>
            <w:shd w:val="clear" w:color="auto" w:fill="auto"/>
          </w:tcPr>
          <w:p w14:paraId="2D632FD1" w14:textId="77777777" w:rsidR="00102992" w:rsidRPr="00082273" w:rsidRDefault="00102992" w:rsidP="005A6F8E">
            <w:pPr>
              <w:pStyle w:val="TableParagraph"/>
              <w:spacing w:before="62"/>
              <w:ind w:left="439"/>
              <w:jc w:val="left"/>
              <w:rPr>
                <w:rFonts w:ascii="Arial" w:hAnsi="Arial" w:cs="Arial"/>
                <w:sz w:val="22"/>
                <w:szCs w:val="22"/>
              </w:rPr>
            </w:pPr>
            <w:r w:rsidRPr="00082273">
              <w:rPr>
                <w:rFonts w:ascii="Arial" w:hAnsi="Arial" w:cs="Arial"/>
                <w:b/>
                <w:sz w:val="22"/>
                <w:szCs w:val="22"/>
              </w:rPr>
              <w:lastRenderedPageBreak/>
              <w:t>Salario Nominal ( en $)</w:t>
            </w:r>
          </w:p>
        </w:tc>
        <w:tc>
          <w:tcPr>
            <w:tcW w:w="3592" w:type="dxa"/>
            <w:tcBorders>
              <w:top w:val="single" w:sz="2" w:space="0" w:color="000000"/>
              <w:left w:val="single" w:sz="2" w:space="0" w:color="000000"/>
              <w:bottom w:val="single" w:sz="2" w:space="0" w:color="000000"/>
              <w:right w:val="single" w:sz="2" w:space="0" w:color="000000"/>
            </w:tcBorders>
            <w:shd w:val="clear" w:color="auto" w:fill="auto"/>
          </w:tcPr>
          <w:p w14:paraId="512E4133" w14:textId="77777777" w:rsidR="00102992" w:rsidRPr="00082273" w:rsidRDefault="00102992" w:rsidP="005A6F8E">
            <w:pPr>
              <w:pStyle w:val="TableParagraph"/>
              <w:spacing w:before="62"/>
              <w:ind w:right="355"/>
              <w:rPr>
                <w:rFonts w:ascii="Arial" w:hAnsi="Arial" w:cs="Arial"/>
                <w:sz w:val="22"/>
                <w:szCs w:val="22"/>
              </w:rPr>
            </w:pPr>
            <w:r w:rsidRPr="00082273">
              <w:rPr>
                <w:rFonts w:ascii="Arial" w:hAnsi="Arial" w:cs="Arial"/>
                <w:b/>
                <w:sz w:val="22"/>
                <w:szCs w:val="22"/>
              </w:rPr>
              <w:t>Aportes Personales ( en %)</w:t>
            </w:r>
          </w:p>
        </w:tc>
      </w:tr>
      <w:tr w:rsidR="00102992" w:rsidRPr="004E31F0" w14:paraId="2B6AB4E5" w14:textId="77777777" w:rsidTr="005A6F8E">
        <w:trPr>
          <w:trHeight w:val="513"/>
        </w:trPr>
        <w:tc>
          <w:tcPr>
            <w:tcW w:w="3678" w:type="dxa"/>
            <w:tcBorders>
              <w:top w:val="single" w:sz="2" w:space="0" w:color="000000"/>
              <w:left w:val="single" w:sz="2" w:space="0" w:color="000000"/>
              <w:bottom w:val="single" w:sz="2" w:space="0" w:color="000000"/>
            </w:tcBorders>
            <w:shd w:val="clear" w:color="auto" w:fill="auto"/>
          </w:tcPr>
          <w:p w14:paraId="5FA6FA3F" w14:textId="77777777" w:rsidR="00102992" w:rsidRPr="004E31F0" w:rsidRDefault="00102992" w:rsidP="005A6F8E">
            <w:pPr>
              <w:pStyle w:val="TableParagraph"/>
              <w:spacing w:before="57"/>
              <w:ind w:left="59"/>
              <w:jc w:val="left"/>
              <w:rPr>
                <w:rFonts w:ascii="Arial" w:hAnsi="Arial" w:cs="Arial"/>
              </w:rPr>
            </w:pPr>
            <w:r w:rsidRPr="004E31F0">
              <w:rPr>
                <w:rFonts w:ascii="Arial" w:hAnsi="Arial" w:cs="Arial"/>
              </w:rPr>
              <w:t>a) hasta 75.000</w:t>
            </w:r>
          </w:p>
        </w:tc>
        <w:tc>
          <w:tcPr>
            <w:tcW w:w="3592" w:type="dxa"/>
            <w:tcBorders>
              <w:top w:val="single" w:sz="2" w:space="0" w:color="000000"/>
              <w:left w:val="single" w:sz="2" w:space="0" w:color="000000"/>
              <w:bottom w:val="single" w:sz="2" w:space="0" w:color="000000"/>
              <w:right w:val="single" w:sz="2" w:space="0" w:color="000000"/>
            </w:tcBorders>
            <w:shd w:val="clear" w:color="auto" w:fill="auto"/>
          </w:tcPr>
          <w:p w14:paraId="23DB341B" w14:textId="77777777" w:rsidR="00102992" w:rsidRPr="004E31F0" w:rsidRDefault="00102992" w:rsidP="005A6F8E">
            <w:pPr>
              <w:pStyle w:val="TableParagraph"/>
              <w:spacing w:before="57"/>
              <w:ind w:right="352"/>
              <w:rPr>
                <w:rFonts w:ascii="Arial" w:hAnsi="Arial" w:cs="Arial"/>
              </w:rPr>
            </w:pPr>
            <w:r w:rsidRPr="004E31F0">
              <w:rPr>
                <w:rFonts w:ascii="Arial" w:hAnsi="Arial" w:cs="Arial"/>
              </w:rPr>
              <w:t>16 %</w:t>
            </w:r>
          </w:p>
        </w:tc>
      </w:tr>
      <w:tr w:rsidR="00102992" w:rsidRPr="004E31F0" w14:paraId="070C13AE" w14:textId="77777777" w:rsidTr="005A6F8E">
        <w:trPr>
          <w:trHeight w:val="513"/>
        </w:trPr>
        <w:tc>
          <w:tcPr>
            <w:tcW w:w="3678" w:type="dxa"/>
            <w:tcBorders>
              <w:top w:val="single" w:sz="2" w:space="0" w:color="000000"/>
              <w:left w:val="single" w:sz="2" w:space="0" w:color="000000"/>
              <w:bottom w:val="single" w:sz="2" w:space="0" w:color="000000"/>
            </w:tcBorders>
            <w:shd w:val="clear" w:color="auto" w:fill="auto"/>
          </w:tcPr>
          <w:p w14:paraId="37AA7ACD" w14:textId="77777777" w:rsidR="00102992" w:rsidRPr="004E31F0" w:rsidRDefault="00102992" w:rsidP="005A6F8E">
            <w:pPr>
              <w:pStyle w:val="TableParagraph"/>
              <w:spacing w:before="57"/>
              <w:ind w:left="59"/>
              <w:jc w:val="left"/>
              <w:rPr>
                <w:rFonts w:ascii="Arial" w:hAnsi="Arial" w:cs="Arial"/>
              </w:rPr>
            </w:pPr>
            <w:r w:rsidRPr="004E31F0">
              <w:rPr>
                <w:rFonts w:ascii="Arial" w:hAnsi="Arial" w:cs="Arial"/>
              </w:rPr>
              <w:t>b) desde 75.001 a 100.000</w:t>
            </w:r>
          </w:p>
        </w:tc>
        <w:tc>
          <w:tcPr>
            <w:tcW w:w="3592" w:type="dxa"/>
            <w:tcBorders>
              <w:top w:val="single" w:sz="2" w:space="0" w:color="000000"/>
              <w:left w:val="single" w:sz="2" w:space="0" w:color="000000"/>
              <w:bottom w:val="single" w:sz="2" w:space="0" w:color="000000"/>
              <w:right w:val="single" w:sz="2" w:space="0" w:color="000000"/>
            </w:tcBorders>
            <w:shd w:val="clear" w:color="auto" w:fill="auto"/>
          </w:tcPr>
          <w:p w14:paraId="2235DA80" w14:textId="77777777" w:rsidR="00102992" w:rsidRPr="004E31F0" w:rsidRDefault="00102992" w:rsidP="005A6F8E">
            <w:pPr>
              <w:pStyle w:val="TableParagraph"/>
              <w:spacing w:before="57"/>
              <w:ind w:right="334"/>
              <w:rPr>
                <w:rFonts w:ascii="Arial" w:hAnsi="Arial" w:cs="Arial"/>
              </w:rPr>
            </w:pPr>
            <w:r w:rsidRPr="004E31F0">
              <w:rPr>
                <w:rFonts w:ascii="Arial" w:hAnsi="Arial" w:cs="Arial"/>
              </w:rPr>
              <w:t>18%</w:t>
            </w:r>
          </w:p>
        </w:tc>
      </w:tr>
      <w:tr w:rsidR="00102992" w:rsidRPr="004E31F0" w14:paraId="0AE1AEC0" w14:textId="77777777" w:rsidTr="005A6F8E">
        <w:trPr>
          <w:trHeight w:val="513"/>
        </w:trPr>
        <w:tc>
          <w:tcPr>
            <w:tcW w:w="3678" w:type="dxa"/>
            <w:tcBorders>
              <w:top w:val="single" w:sz="2" w:space="0" w:color="000000"/>
              <w:left w:val="single" w:sz="2" w:space="0" w:color="000000"/>
              <w:bottom w:val="single" w:sz="2" w:space="0" w:color="000000"/>
            </w:tcBorders>
            <w:shd w:val="clear" w:color="auto" w:fill="auto"/>
          </w:tcPr>
          <w:p w14:paraId="755BB002" w14:textId="77777777" w:rsidR="00102992" w:rsidRPr="004E31F0" w:rsidRDefault="00102992" w:rsidP="005A6F8E">
            <w:pPr>
              <w:pStyle w:val="TableParagraph"/>
              <w:spacing w:before="62"/>
              <w:ind w:left="59"/>
              <w:jc w:val="left"/>
              <w:rPr>
                <w:rFonts w:ascii="Arial" w:hAnsi="Arial" w:cs="Arial"/>
              </w:rPr>
            </w:pPr>
            <w:r w:rsidRPr="004E31F0">
              <w:rPr>
                <w:rFonts w:ascii="Arial" w:hAnsi="Arial" w:cs="Arial"/>
              </w:rPr>
              <w:t>c) desde 100.001 a 200.000</w:t>
            </w:r>
          </w:p>
        </w:tc>
        <w:tc>
          <w:tcPr>
            <w:tcW w:w="3592" w:type="dxa"/>
            <w:tcBorders>
              <w:top w:val="single" w:sz="2" w:space="0" w:color="000000"/>
              <w:left w:val="single" w:sz="2" w:space="0" w:color="000000"/>
              <w:bottom w:val="single" w:sz="2" w:space="0" w:color="000000"/>
              <w:right w:val="single" w:sz="2" w:space="0" w:color="000000"/>
            </w:tcBorders>
            <w:shd w:val="clear" w:color="auto" w:fill="auto"/>
          </w:tcPr>
          <w:p w14:paraId="597C2699" w14:textId="77777777" w:rsidR="00102992" w:rsidRPr="004E31F0" w:rsidRDefault="00102992" w:rsidP="005A6F8E">
            <w:pPr>
              <w:pStyle w:val="TableParagraph"/>
              <w:spacing w:before="62"/>
              <w:ind w:right="334"/>
              <w:rPr>
                <w:rFonts w:ascii="Arial" w:hAnsi="Arial" w:cs="Arial"/>
              </w:rPr>
            </w:pPr>
            <w:r w:rsidRPr="004E31F0">
              <w:rPr>
                <w:rFonts w:ascii="Arial" w:hAnsi="Arial" w:cs="Arial"/>
              </w:rPr>
              <w:t>20%</w:t>
            </w:r>
          </w:p>
        </w:tc>
      </w:tr>
      <w:tr w:rsidR="00102992" w:rsidRPr="004E31F0" w14:paraId="5C176B3E" w14:textId="77777777" w:rsidTr="005A6F8E">
        <w:trPr>
          <w:trHeight w:val="921"/>
        </w:trPr>
        <w:tc>
          <w:tcPr>
            <w:tcW w:w="3678" w:type="dxa"/>
            <w:tcBorders>
              <w:top w:val="single" w:sz="2" w:space="0" w:color="000000"/>
              <w:left w:val="single" w:sz="2" w:space="0" w:color="000000"/>
              <w:bottom w:val="single" w:sz="2" w:space="0" w:color="000000"/>
            </w:tcBorders>
            <w:shd w:val="clear" w:color="auto" w:fill="auto"/>
          </w:tcPr>
          <w:p w14:paraId="0EF9B633" w14:textId="77777777" w:rsidR="00102992" w:rsidRPr="004E31F0" w:rsidRDefault="00102992" w:rsidP="005A6F8E">
            <w:pPr>
              <w:pStyle w:val="TableParagraph"/>
              <w:spacing w:before="62" w:line="352" w:lineRule="auto"/>
              <w:ind w:left="59" w:right="928"/>
              <w:jc w:val="left"/>
              <w:rPr>
                <w:rFonts w:ascii="Arial" w:hAnsi="Arial" w:cs="Arial"/>
              </w:rPr>
            </w:pPr>
            <w:r w:rsidRPr="004E31F0">
              <w:rPr>
                <w:rFonts w:ascii="Arial" w:hAnsi="Arial" w:cs="Arial"/>
              </w:rPr>
              <w:t>d) desde 200.001 en adelante</w:t>
            </w:r>
          </w:p>
        </w:tc>
        <w:tc>
          <w:tcPr>
            <w:tcW w:w="3592" w:type="dxa"/>
            <w:tcBorders>
              <w:top w:val="single" w:sz="2" w:space="0" w:color="000000"/>
              <w:left w:val="single" w:sz="2" w:space="0" w:color="000000"/>
              <w:bottom w:val="single" w:sz="2" w:space="0" w:color="000000"/>
              <w:right w:val="single" w:sz="2" w:space="0" w:color="000000"/>
            </w:tcBorders>
            <w:shd w:val="clear" w:color="auto" w:fill="auto"/>
          </w:tcPr>
          <w:p w14:paraId="1CCF69B8" w14:textId="77777777" w:rsidR="00102992" w:rsidRPr="004E31F0" w:rsidRDefault="00102992" w:rsidP="005A6F8E">
            <w:pPr>
              <w:pStyle w:val="TableParagraph"/>
              <w:spacing w:before="62"/>
              <w:ind w:right="334"/>
              <w:rPr>
                <w:rFonts w:ascii="Arial" w:hAnsi="Arial" w:cs="Arial"/>
              </w:rPr>
            </w:pPr>
            <w:r w:rsidRPr="004E31F0">
              <w:rPr>
                <w:rFonts w:ascii="Arial" w:hAnsi="Arial" w:cs="Arial"/>
              </w:rPr>
              <w:t>22%</w:t>
            </w:r>
          </w:p>
        </w:tc>
      </w:tr>
    </w:tbl>
    <w:p w14:paraId="097A1A98" w14:textId="77777777" w:rsidR="00102992" w:rsidRPr="004E31F0" w:rsidRDefault="00102992" w:rsidP="006832F2">
      <w:pPr>
        <w:spacing w:after="0" w:line="240" w:lineRule="auto"/>
        <w:jc w:val="both"/>
        <w:rPr>
          <w:rFonts w:ascii="Arial" w:hAnsi="Arial" w:cs="Arial"/>
          <w:sz w:val="24"/>
          <w:szCs w:val="24"/>
        </w:rPr>
      </w:pPr>
    </w:p>
    <w:p w14:paraId="2C5AF05E" w14:textId="77777777" w:rsidR="00102992" w:rsidRPr="004E31F0" w:rsidRDefault="00102992" w:rsidP="006832F2">
      <w:pPr>
        <w:spacing w:after="0" w:line="240" w:lineRule="auto"/>
        <w:jc w:val="both"/>
        <w:rPr>
          <w:rFonts w:ascii="Arial" w:hAnsi="Arial" w:cs="Arial"/>
          <w:sz w:val="24"/>
          <w:szCs w:val="24"/>
        </w:rPr>
      </w:pPr>
    </w:p>
    <w:p w14:paraId="37C41400"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5º.-</w:t>
      </w:r>
      <w:r w:rsidRPr="004E31F0">
        <w:rPr>
          <w:rFonts w:ascii="Arial" w:hAnsi="Arial" w:cs="Arial"/>
          <w:sz w:val="24"/>
          <w:szCs w:val="24"/>
        </w:rPr>
        <w:t xml:space="preserve"> Dispónese que el personal comprendido en la Ley Nº 5.654/75, continuará efectuando el aporte establecido de acuerdo al Artículo 242º de dicho cuerpo legal en tanto sus haberes estén incluidos en la escala prevista en los apartados a y b del esquema del Artículo 4º. Para quienes perciban haberes iguales o superiores a $ 100.001, los aportes personales se incrementarán según el porcentaje de la escala prevista en los</w:t>
      </w:r>
      <w:r w:rsidR="00082273">
        <w:rPr>
          <w:rFonts w:ascii="Arial" w:hAnsi="Arial" w:cs="Arial"/>
          <w:sz w:val="24"/>
          <w:szCs w:val="24"/>
        </w:rPr>
        <w:t xml:space="preserve"> apartados c y d del Artículo 4</w:t>
      </w:r>
      <w:r w:rsidRPr="004E31F0">
        <w:rPr>
          <w:rFonts w:ascii="Arial" w:hAnsi="Arial" w:cs="Arial"/>
          <w:sz w:val="24"/>
          <w:szCs w:val="24"/>
        </w:rPr>
        <w:t>º. De igual manera se procederá con los agentes comprendidos en la</w:t>
      </w:r>
      <w:r>
        <w:rPr>
          <w:rFonts w:ascii="Arial" w:hAnsi="Arial" w:cs="Arial"/>
          <w:sz w:val="24"/>
          <w:szCs w:val="24"/>
        </w:rPr>
        <w:t xml:space="preserve"> Ley Nº 5797/75.</w:t>
      </w:r>
    </w:p>
    <w:p w14:paraId="78401345" w14:textId="77777777" w:rsidR="00102992" w:rsidRPr="004E31F0" w:rsidRDefault="00102992" w:rsidP="006832F2">
      <w:pPr>
        <w:spacing w:after="0" w:line="240" w:lineRule="auto"/>
        <w:jc w:val="both"/>
        <w:rPr>
          <w:rFonts w:ascii="Arial" w:hAnsi="Arial" w:cs="Arial"/>
          <w:sz w:val="24"/>
          <w:szCs w:val="24"/>
        </w:rPr>
      </w:pPr>
    </w:p>
    <w:p w14:paraId="4D304503"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6º.-</w:t>
      </w:r>
      <w:r w:rsidRPr="004E31F0">
        <w:rPr>
          <w:rFonts w:ascii="Arial" w:hAnsi="Arial" w:cs="Arial"/>
          <w:sz w:val="24"/>
          <w:szCs w:val="24"/>
        </w:rPr>
        <w:t xml:space="preserve"> Establécese durante la vigencia de la presente ley, los siguientes aportes solidarios extraordinarios, los que serán calculados en forma proporcional al nivel de ingresos, a detraer sobre el monto total nominal liquidado a cada uno de los beneficiarios de la Caja de Jubilaciones y Pensiones de la provincia de Entre Ríos, con destino a </w:t>
      </w:r>
      <w:r>
        <w:rPr>
          <w:rFonts w:ascii="Arial" w:hAnsi="Arial" w:cs="Arial"/>
          <w:sz w:val="24"/>
          <w:szCs w:val="24"/>
        </w:rPr>
        <w:t>cubrir el déficit previsional.</w:t>
      </w:r>
    </w:p>
    <w:p w14:paraId="4FD4632C" w14:textId="77777777" w:rsidR="00102992" w:rsidRPr="004E31F0" w:rsidRDefault="00102992" w:rsidP="006832F2">
      <w:pPr>
        <w:spacing w:after="0" w:line="240" w:lineRule="auto"/>
        <w:jc w:val="both"/>
        <w:rPr>
          <w:rFonts w:ascii="Arial" w:hAnsi="Arial" w:cs="Arial"/>
          <w:sz w:val="24"/>
          <w:szCs w:val="24"/>
        </w:rPr>
      </w:pPr>
    </w:p>
    <w:p w14:paraId="21ED7C15" w14:textId="77777777" w:rsidR="00102992" w:rsidRDefault="00102992" w:rsidP="006832F2">
      <w:pPr>
        <w:spacing w:after="0" w:line="240" w:lineRule="auto"/>
        <w:jc w:val="both"/>
        <w:rPr>
          <w:rFonts w:ascii="Arial" w:hAnsi="Arial" w:cs="Arial"/>
          <w:sz w:val="24"/>
          <w:szCs w:val="24"/>
        </w:rPr>
      </w:pPr>
    </w:p>
    <w:p w14:paraId="2EBDF717" w14:textId="77777777" w:rsidR="006832F2" w:rsidRPr="004E31F0" w:rsidRDefault="006832F2" w:rsidP="006832F2">
      <w:pPr>
        <w:spacing w:after="0" w:line="240" w:lineRule="auto"/>
        <w:jc w:val="both"/>
        <w:rPr>
          <w:rFonts w:ascii="Arial" w:hAnsi="Arial" w:cs="Arial"/>
          <w:sz w:val="24"/>
          <w:szCs w:val="24"/>
        </w:rPr>
      </w:pPr>
    </w:p>
    <w:tbl>
      <w:tblPr>
        <w:tblW w:w="0" w:type="auto"/>
        <w:tblInd w:w="1143" w:type="dxa"/>
        <w:tblLayout w:type="fixed"/>
        <w:tblCellMar>
          <w:left w:w="5" w:type="dxa"/>
          <w:right w:w="5" w:type="dxa"/>
        </w:tblCellMar>
        <w:tblLook w:val="0000" w:firstRow="0" w:lastRow="0" w:firstColumn="0" w:lastColumn="0" w:noHBand="0" w:noVBand="0"/>
      </w:tblPr>
      <w:tblGrid>
        <w:gridCol w:w="4306"/>
        <w:gridCol w:w="1946"/>
      </w:tblGrid>
      <w:tr w:rsidR="00102992" w:rsidRPr="004E31F0" w14:paraId="0AA19C8D" w14:textId="77777777" w:rsidTr="005A6F8E">
        <w:trPr>
          <w:trHeight w:val="805"/>
        </w:trPr>
        <w:tc>
          <w:tcPr>
            <w:tcW w:w="4306" w:type="dxa"/>
            <w:tcBorders>
              <w:top w:val="single" w:sz="4" w:space="0" w:color="000000"/>
              <w:left w:val="single" w:sz="4" w:space="0" w:color="000000"/>
              <w:bottom w:val="single" w:sz="4" w:space="0" w:color="000000"/>
            </w:tcBorders>
            <w:shd w:val="clear" w:color="auto" w:fill="auto"/>
          </w:tcPr>
          <w:p w14:paraId="48BCEF71" w14:textId="77777777" w:rsidR="00102992" w:rsidRPr="00082273" w:rsidRDefault="00102992" w:rsidP="005A6F8E">
            <w:pPr>
              <w:pStyle w:val="TableParagraph"/>
              <w:ind w:left="504" w:right="518"/>
              <w:rPr>
                <w:rFonts w:ascii="Arial" w:hAnsi="Arial" w:cs="Arial"/>
                <w:sz w:val="22"/>
                <w:szCs w:val="22"/>
              </w:rPr>
            </w:pPr>
            <w:r w:rsidRPr="00082273">
              <w:rPr>
                <w:rFonts w:ascii="Arial" w:hAnsi="Arial" w:cs="Arial"/>
                <w:b/>
                <w:sz w:val="22"/>
                <w:szCs w:val="22"/>
              </w:rPr>
              <w:t>Monto total beneficio Nominal</w:t>
            </w:r>
          </w:p>
          <w:p w14:paraId="133AA3D6" w14:textId="77777777" w:rsidR="00102992" w:rsidRPr="004E31F0" w:rsidRDefault="00102992" w:rsidP="005A6F8E">
            <w:pPr>
              <w:pStyle w:val="TableParagraph"/>
              <w:spacing w:before="133"/>
              <w:ind w:left="504" w:right="507"/>
              <w:rPr>
                <w:rFonts w:ascii="Arial" w:hAnsi="Arial" w:cs="Arial"/>
              </w:rPr>
            </w:pPr>
            <w:r w:rsidRPr="00082273">
              <w:rPr>
                <w:rFonts w:ascii="Arial" w:hAnsi="Arial" w:cs="Arial"/>
                <w:b/>
                <w:sz w:val="22"/>
                <w:szCs w:val="22"/>
              </w:rPr>
              <w:t>en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4BABFDCB" w14:textId="77777777" w:rsidR="00102992" w:rsidRPr="004E31F0" w:rsidRDefault="00102992" w:rsidP="005A6F8E">
            <w:pPr>
              <w:pStyle w:val="TableParagraph"/>
              <w:snapToGrid w:val="0"/>
              <w:spacing w:before="2"/>
              <w:ind w:left="0"/>
              <w:jc w:val="left"/>
              <w:rPr>
                <w:rFonts w:ascii="Arial" w:hAnsi="Arial" w:cs="Arial"/>
              </w:rPr>
            </w:pPr>
          </w:p>
          <w:p w14:paraId="20341F4D" w14:textId="77777777" w:rsidR="00102992" w:rsidRPr="00082273" w:rsidRDefault="00102992" w:rsidP="005A6F8E">
            <w:pPr>
              <w:pStyle w:val="TableParagraph"/>
              <w:spacing w:before="0"/>
              <w:ind w:left="457" w:right="468"/>
              <w:rPr>
                <w:rFonts w:ascii="Arial" w:hAnsi="Arial" w:cs="Arial"/>
                <w:sz w:val="22"/>
                <w:szCs w:val="22"/>
              </w:rPr>
            </w:pPr>
            <w:r w:rsidRPr="00082273">
              <w:rPr>
                <w:rFonts w:ascii="Arial" w:hAnsi="Arial" w:cs="Arial"/>
                <w:b/>
                <w:sz w:val="22"/>
                <w:szCs w:val="22"/>
              </w:rPr>
              <w:t>aporte %</w:t>
            </w:r>
          </w:p>
        </w:tc>
      </w:tr>
      <w:tr w:rsidR="00102992" w:rsidRPr="004E31F0" w14:paraId="4F4111E2" w14:textId="77777777" w:rsidTr="005A6F8E">
        <w:trPr>
          <w:trHeight w:val="407"/>
        </w:trPr>
        <w:tc>
          <w:tcPr>
            <w:tcW w:w="4306" w:type="dxa"/>
            <w:tcBorders>
              <w:top w:val="single" w:sz="4" w:space="0" w:color="000000"/>
              <w:left w:val="single" w:sz="4" w:space="0" w:color="000000"/>
              <w:bottom w:val="single" w:sz="4" w:space="0" w:color="000000"/>
            </w:tcBorders>
            <w:shd w:val="clear" w:color="auto" w:fill="auto"/>
          </w:tcPr>
          <w:p w14:paraId="74FF7CF3" w14:textId="77777777" w:rsidR="00102992" w:rsidRPr="004E31F0" w:rsidRDefault="00102992" w:rsidP="005A6F8E">
            <w:pPr>
              <w:pStyle w:val="TableParagraph"/>
              <w:ind w:left="110"/>
              <w:jc w:val="left"/>
              <w:rPr>
                <w:rFonts w:ascii="Arial" w:hAnsi="Arial" w:cs="Arial"/>
              </w:rPr>
            </w:pPr>
            <w:r w:rsidRPr="004E31F0">
              <w:rPr>
                <w:rFonts w:ascii="Arial" w:hAnsi="Arial" w:cs="Arial"/>
              </w:rPr>
              <w:t>a) desde 75.001 a 100.000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08696B2B" w14:textId="77777777" w:rsidR="00102992" w:rsidRPr="004E31F0" w:rsidRDefault="00102992" w:rsidP="005A6F8E">
            <w:pPr>
              <w:pStyle w:val="TableParagraph"/>
              <w:ind w:left="457" w:right="441"/>
              <w:rPr>
                <w:rFonts w:ascii="Arial" w:hAnsi="Arial" w:cs="Arial"/>
              </w:rPr>
            </w:pPr>
            <w:r w:rsidRPr="004E31F0">
              <w:rPr>
                <w:rFonts w:ascii="Arial" w:hAnsi="Arial" w:cs="Arial"/>
              </w:rPr>
              <w:t>4%</w:t>
            </w:r>
          </w:p>
        </w:tc>
      </w:tr>
      <w:tr w:rsidR="00102992" w:rsidRPr="004E31F0" w14:paraId="191A7D66" w14:textId="77777777" w:rsidTr="005A6F8E">
        <w:trPr>
          <w:trHeight w:val="403"/>
        </w:trPr>
        <w:tc>
          <w:tcPr>
            <w:tcW w:w="4306" w:type="dxa"/>
            <w:tcBorders>
              <w:top w:val="single" w:sz="4" w:space="0" w:color="000000"/>
              <w:left w:val="single" w:sz="4" w:space="0" w:color="000000"/>
              <w:bottom w:val="single" w:sz="4" w:space="0" w:color="000000"/>
            </w:tcBorders>
            <w:shd w:val="clear" w:color="auto" w:fill="auto"/>
          </w:tcPr>
          <w:p w14:paraId="0E57ECF6" w14:textId="77777777" w:rsidR="00102992" w:rsidRPr="004E31F0" w:rsidRDefault="00102992" w:rsidP="005A6F8E">
            <w:pPr>
              <w:pStyle w:val="TableParagraph"/>
              <w:ind w:left="110"/>
              <w:jc w:val="left"/>
              <w:rPr>
                <w:rFonts w:ascii="Arial" w:hAnsi="Arial" w:cs="Arial"/>
              </w:rPr>
            </w:pPr>
            <w:r w:rsidRPr="004E31F0">
              <w:rPr>
                <w:rFonts w:ascii="Arial" w:hAnsi="Arial" w:cs="Arial"/>
              </w:rPr>
              <w:t>b) desde 100.001 a 200.000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5E2A5562" w14:textId="77777777" w:rsidR="00102992" w:rsidRPr="004E31F0" w:rsidRDefault="00102992" w:rsidP="005A6F8E">
            <w:pPr>
              <w:pStyle w:val="TableParagraph"/>
              <w:ind w:left="457" w:right="441"/>
              <w:rPr>
                <w:rFonts w:ascii="Arial" w:hAnsi="Arial" w:cs="Arial"/>
              </w:rPr>
            </w:pPr>
            <w:r w:rsidRPr="004E31F0">
              <w:rPr>
                <w:rFonts w:ascii="Arial" w:hAnsi="Arial" w:cs="Arial"/>
              </w:rPr>
              <w:t>6%</w:t>
            </w:r>
          </w:p>
        </w:tc>
      </w:tr>
      <w:tr w:rsidR="00102992" w:rsidRPr="004E31F0" w14:paraId="4067DB1B" w14:textId="77777777" w:rsidTr="005A6F8E">
        <w:trPr>
          <w:trHeight w:val="402"/>
        </w:trPr>
        <w:tc>
          <w:tcPr>
            <w:tcW w:w="4306" w:type="dxa"/>
            <w:tcBorders>
              <w:top w:val="single" w:sz="4" w:space="0" w:color="000000"/>
              <w:left w:val="single" w:sz="4" w:space="0" w:color="000000"/>
              <w:bottom w:val="single" w:sz="4" w:space="0" w:color="000000"/>
            </w:tcBorders>
            <w:shd w:val="clear" w:color="auto" w:fill="auto"/>
          </w:tcPr>
          <w:p w14:paraId="28498201" w14:textId="77777777" w:rsidR="00102992" w:rsidRPr="004E31F0" w:rsidRDefault="00102992" w:rsidP="005A6F8E">
            <w:pPr>
              <w:pStyle w:val="TableParagraph"/>
              <w:ind w:left="110"/>
              <w:jc w:val="left"/>
              <w:rPr>
                <w:rFonts w:ascii="Arial" w:hAnsi="Arial" w:cs="Arial"/>
              </w:rPr>
            </w:pPr>
            <w:r w:rsidRPr="004E31F0">
              <w:rPr>
                <w:rFonts w:ascii="Arial" w:hAnsi="Arial" w:cs="Arial"/>
              </w:rPr>
              <w:t>c) desde 200.001 a 300.000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270D32F0" w14:textId="77777777" w:rsidR="00102992" w:rsidRPr="004E31F0" w:rsidRDefault="00082273" w:rsidP="005A6F8E">
            <w:pPr>
              <w:pStyle w:val="TableParagraph"/>
              <w:ind w:left="457" w:right="457"/>
              <w:rPr>
                <w:rFonts w:ascii="Arial" w:hAnsi="Arial" w:cs="Arial"/>
              </w:rPr>
            </w:pPr>
            <w:r>
              <w:rPr>
                <w:rFonts w:ascii="Arial" w:hAnsi="Arial" w:cs="Arial"/>
              </w:rPr>
              <w:t>8</w:t>
            </w:r>
            <w:r w:rsidR="00102992" w:rsidRPr="004E31F0">
              <w:rPr>
                <w:rFonts w:ascii="Arial" w:hAnsi="Arial" w:cs="Arial"/>
              </w:rPr>
              <w:t>%</w:t>
            </w:r>
          </w:p>
        </w:tc>
      </w:tr>
      <w:tr w:rsidR="00102992" w:rsidRPr="004E31F0" w14:paraId="121A2470" w14:textId="77777777" w:rsidTr="005A6F8E">
        <w:trPr>
          <w:trHeight w:val="407"/>
        </w:trPr>
        <w:tc>
          <w:tcPr>
            <w:tcW w:w="4306" w:type="dxa"/>
            <w:tcBorders>
              <w:top w:val="single" w:sz="4" w:space="0" w:color="000000"/>
              <w:left w:val="single" w:sz="4" w:space="0" w:color="000000"/>
              <w:bottom w:val="single" w:sz="4" w:space="0" w:color="000000"/>
            </w:tcBorders>
            <w:shd w:val="clear" w:color="auto" w:fill="auto"/>
          </w:tcPr>
          <w:p w14:paraId="6B4D844E" w14:textId="77777777" w:rsidR="00102992" w:rsidRPr="004E31F0" w:rsidRDefault="00102992" w:rsidP="005A6F8E">
            <w:pPr>
              <w:pStyle w:val="TableParagraph"/>
              <w:ind w:left="110"/>
              <w:jc w:val="left"/>
              <w:rPr>
                <w:rFonts w:ascii="Arial" w:hAnsi="Arial" w:cs="Arial"/>
              </w:rPr>
            </w:pPr>
            <w:r w:rsidRPr="004E31F0">
              <w:rPr>
                <w:rFonts w:ascii="Arial" w:hAnsi="Arial" w:cs="Arial"/>
              </w:rPr>
              <w:t>d) más de 300.001</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17D99AF3" w14:textId="77777777" w:rsidR="00102992" w:rsidRPr="004E31F0" w:rsidRDefault="00082273" w:rsidP="005A6F8E">
            <w:pPr>
              <w:pStyle w:val="TableParagraph"/>
              <w:ind w:left="457" w:right="457"/>
              <w:rPr>
                <w:rFonts w:ascii="Arial" w:hAnsi="Arial" w:cs="Arial"/>
              </w:rPr>
            </w:pPr>
            <w:r>
              <w:rPr>
                <w:rFonts w:ascii="Arial" w:hAnsi="Arial" w:cs="Arial"/>
              </w:rPr>
              <w:t>10</w:t>
            </w:r>
            <w:r w:rsidR="00102992" w:rsidRPr="004E31F0">
              <w:rPr>
                <w:rFonts w:ascii="Arial" w:hAnsi="Arial" w:cs="Arial"/>
              </w:rPr>
              <w:t>%</w:t>
            </w:r>
          </w:p>
        </w:tc>
      </w:tr>
    </w:tbl>
    <w:p w14:paraId="0FF48D18" w14:textId="77777777" w:rsidR="00102992" w:rsidRPr="004E31F0" w:rsidRDefault="00102992" w:rsidP="006832F2">
      <w:pPr>
        <w:spacing w:after="0" w:line="240" w:lineRule="auto"/>
        <w:jc w:val="both"/>
        <w:rPr>
          <w:rFonts w:ascii="Arial" w:hAnsi="Arial" w:cs="Arial"/>
          <w:sz w:val="24"/>
          <w:szCs w:val="24"/>
        </w:rPr>
      </w:pPr>
    </w:p>
    <w:p w14:paraId="33D5923C" w14:textId="77777777" w:rsidR="00102992" w:rsidRPr="004E31F0" w:rsidRDefault="00102992" w:rsidP="006832F2">
      <w:pPr>
        <w:spacing w:after="0" w:line="240" w:lineRule="auto"/>
        <w:jc w:val="both"/>
        <w:rPr>
          <w:rFonts w:ascii="Arial" w:hAnsi="Arial" w:cs="Arial"/>
          <w:sz w:val="24"/>
          <w:szCs w:val="24"/>
        </w:rPr>
      </w:pPr>
      <w:r w:rsidRPr="004E31F0">
        <w:rPr>
          <w:rFonts w:ascii="Arial" w:hAnsi="Arial" w:cs="Arial"/>
          <w:sz w:val="24"/>
          <w:szCs w:val="24"/>
        </w:rPr>
        <w:t xml:space="preserve">En el caso de percepción de más de un haber previsional otorgado por la Caja de Jubilaciones y Pensiones de Entre Ríos, ya sea pensión y/o jubilación, el monto total sobre el que se calculara el porcentaje aplicable, estará dado </w:t>
      </w:r>
      <w:r>
        <w:rPr>
          <w:rFonts w:ascii="Arial" w:hAnsi="Arial" w:cs="Arial"/>
          <w:sz w:val="24"/>
          <w:szCs w:val="24"/>
        </w:rPr>
        <w:t>por la suma de ambos conceptos.</w:t>
      </w:r>
    </w:p>
    <w:p w14:paraId="2357CA56" w14:textId="77777777" w:rsidR="00102992" w:rsidRPr="004E31F0" w:rsidRDefault="00102992" w:rsidP="006832F2">
      <w:pPr>
        <w:spacing w:after="0" w:line="240" w:lineRule="auto"/>
        <w:jc w:val="both"/>
        <w:rPr>
          <w:rFonts w:ascii="Arial" w:hAnsi="Arial" w:cs="Arial"/>
          <w:sz w:val="24"/>
          <w:szCs w:val="24"/>
        </w:rPr>
      </w:pPr>
    </w:p>
    <w:p w14:paraId="79FA041B"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7º.-</w:t>
      </w:r>
      <w:r w:rsidRPr="004E31F0">
        <w:rPr>
          <w:rFonts w:ascii="Arial" w:hAnsi="Arial" w:cs="Arial"/>
          <w:sz w:val="24"/>
          <w:szCs w:val="24"/>
        </w:rPr>
        <w:t xml:space="preserve"> Modifícase por el periodo que dure la emergencia, el artículo 160º del Código Fiscal, que quedará redactado de la siguiente forma: “Para las Entidades Financieras comprendidas en la Ley Nº 21.526 y sus modificatorias, la base imponible estará constituida por el total de la suma del haber de las cuentas de resultados, no admitiéndos</w:t>
      </w:r>
      <w:r>
        <w:rPr>
          <w:rFonts w:ascii="Arial" w:hAnsi="Arial" w:cs="Arial"/>
          <w:sz w:val="24"/>
          <w:szCs w:val="24"/>
        </w:rPr>
        <w:t>e deducciones de ningún tipo”.</w:t>
      </w:r>
    </w:p>
    <w:p w14:paraId="077C68DD" w14:textId="77777777" w:rsidR="00102992" w:rsidRPr="004E31F0" w:rsidRDefault="00102992" w:rsidP="006832F2">
      <w:pPr>
        <w:spacing w:after="0" w:line="240" w:lineRule="auto"/>
        <w:jc w:val="both"/>
        <w:rPr>
          <w:rFonts w:ascii="Arial" w:hAnsi="Arial" w:cs="Arial"/>
          <w:sz w:val="24"/>
          <w:szCs w:val="24"/>
        </w:rPr>
      </w:pPr>
    </w:p>
    <w:p w14:paraId="4ACF8CDF"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8º.-</w:t>
      </w:r>
      <w:r w:rsidRPr="004E31F0">
        <w:rPr>
          <w:rFonts w:ascii="Arial" w:hAnsi="Arial" w:cs="Arial"/>
          <w:sz w:val="24"/>
          <w:szCs w:val="24"/>
        </w:rPr>
        <w:t xml:space="preserve"> Modifícase, durante la vigencia de la presente ley, la alícuota establecida en el Artículo 8º de la Ley Impositiva 9.622 (to 2018) y sus modificatorias, para la actividad comercio mayorista de medicamentos para uso humano, la que quedará fijada en el </w:t>
      </w:r>
      <w:r>
        <w:rPr>
          <w:rFonts w:ascii="Arial" w:hAnsi="Arial" w:cs="Arial"/>
          <w:sz w:val="24"/>
          <w:szCs w:val="24"/>
        </w:rPr>
        <w:t>4%.</w:t>
      </w:r>
    </w:p>
    <w:p w14:paraId="175C35C2" w14:textId="77777777" w:rsidR="00102992" w:rsidRPr="004E31F0" w:rsidRDefault="00102992" w:rsidP="006832F2">
      <w:pPr>
        <w:spacing w:after="0" w:line="240" w:lineRule="auto"/>
        <w:jc w:val="both"/>
        <w:rPr>
          <w:rFonts w:ascii="Arial" w:hAnsi="Arial" w:cs="Arial"/>
          <w:sz w:val="24"/>
          <w:szCs w:val="24"/>
        </w:rPr>
      </w:pPr>
      <w:r w:rsidRPr="004E31F0">
        <w:rPr>
          <w:rFonts w:ascii="Arial" w:hAnsi="Arial" w:cs="Arial"/>
          <w:sz w:val="24"/>
          <w:szCs w:val="24"/>
        </w:rPr>
        <w:t>Cuando dicha actividad sea realizada por Micros o Pequeños contribuyentes, según lo dispuesto en el Artículo 191º del Código Fiscal (to</w:t>
      </w:r>
      <w:r w:rsidR="006832F2">
        <w:rPr>
          <w:rFonts w:ascii="Arial" w:hAnsi="Arial" w:cs="Arial"/>
          <w:sz w:val="24"/>
          <w:szCs w:val="24"/>
        </w:rPr>
        <w:t xml:space="preserve"> </w:t>
      </w:r>
      <w:r w:rsidRPr="004E31F0">
        <w:rPr>
          <w:rFonts w:ascii="Arial" w:hAnsi="Arial" w:cs="Arial"/>
          <w:sz w:val="24"/>
          <w:szCs w:val="24"/>
        </w:rPr>
        <w:t>2018), o cuando la misma sea efectuada por Cooperativas en operaciones con sus asociados la alíc</w:t>
      </w:r>
      <w:r>
        <w:rPr>
          <w:rFonts w:ascii="Arial" w:hAnsi="Arial" w:cs="Arial"/>
          <w:sz w:val="24"/>
          <w:szCs w:val="24"/>
        </w:rPr>
        <w:t>uota quedará fijada en el 1,6%.</w:t>
      </w:r>
    </w:p>
    <w:p w14:paraId="478718C9" w14:textId="77777777" w:rsidR="00102992" w:rsidRPr="004E31F0" w:rsidRDefault="00102992" w:rsidP="006832F2">
      <w:pPr>
        <w:spacing w:after="0" w:line="240" w:lineRule="auto"/>
        <w:jc w:val="both"/>
        <w:rPr>
          <w:rFonts w:ascii="Arial" w:hAnsi="Arial" w:cs="Arial"/>
          <w:sz w:val="24"/>
          <w:szCs w:val="24"/>
        </w:rPr>
      </w:pPr>
      <w:r w:rsidRPr="004E31F0">
        <w:rPr>
          <w:rFonts w:ascii="Arial" w:hAnsi="Arial" w:cs="Arial"/>
          <w:sz w:val="24"/>
          <w:szCs w:val="24"/>
        </w:rPr>
        <w:t xml:space="preserve"> </w:t>
      </w:r>
    </w:p>
    <w:p w14:paraId="24CEB189"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9º.-</w:t>
      </w:r>
      <w:r w:rsidRPr="004E31F0">
        <w:rPr>
          <w:rFonts w:ascii="Arial" w:hAnsi="Arial" w:cs="Arial"/>
          <w:sz w:val="24"/>
          <w:szCs w:val="24"/>
        </w:rPr>
        <w:t xml:space="preserve"> Establécese durante la vigencia de la presente ley, un aporte extraordinario equivalente al diez por ciento (10%) del impuesto inmobiliario anual, aplicable a los inmuebles de la planta 6 y 7, cuya superficie sea igual o superior a un mil (1.000) hectáreas, quedando incluidas aquellas parcelas resultantes de la aplicación de las disposiciones del Segundo Párrafo del Artículo 132º del Código Fiscal (t.o.</w:t>
      </w:r>
      <w:r w:rsidR="006832F2">
        <w:rPr>
          <w:rFonts w:ascii="Arial" w:hAnsi="Arial" w:cs="Arial"/>
          <w:sz w:val="24"/>
          <w:szCs w:val="24"/>
        </w:rPr>
        <w:t xml:space="preserve"> </w:t>
      </w:r>
      <w:r w:rsidRPr="004E31F0">
        <w:rPr>
          <w:rFonts w:ascii="Arial" w:hAnsi="Arial" w:cs="Arial"/>
          <w:sz w:val="24"/>
          <w:szCs w:val="24"/>
        </w:rPr>
        <w:t>2018). Este aporte se calculará sobre el impuesto anual determinado para el período fiscal 2020, y se replicará el mismo cálculo para el ejercicio 2021, tomándose como base el valor del impu</w:t>
      </w:r>
      <w:r>
        <w:rPr>
          <w:rFonts w:ascii="Arial" w:hAnsi="Arial" w:cs="Arial"/>
          <w:sz w:val="24"/>
          <w:szCs w:val="24"/>
        </w:rPr>
        <w:t>esto determinado para ese año.</w:t>
      </w:r>
    </w:p>
    <w:p w14:paraId="287D986E" w14:textId="77777777" w:rsidR="00102992" w:rsidRPr="004E31F0" w:rsidRDefault="00102992" w:rsidP="006832F2">
      <w:pPr>
        <w:spacing w:after="0" w:line="240" w:lineRule="auto"/>
        <w:jc w:val="both"/>
        <w:rPr>
          <w:rFonts w:ascii="Arial" w:hAnsi="Arial" w:cs="Arial"/>
          <w:sz w:val="24"/>
          <w:szCs w:val="24"/>
        </w:rPr>
      </w:pPr>
    </w:p>
    <w:p w14:paraId="754D8E9F"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10º.-</w:t>
      </w:r>
      <w:r w:rsidRPr="004E31F0">
        <w:rPr>
          <w:rFonts w:ascii="Arial" w:hAnsi="Arial" w:cs="Arial"/>
          <w:sz w:val="24"/>
          <w:szCs w:val="24"/>
        </w:rPr>
        <w:t xml:space="preserve"> Durante la vigencia de la presente ley y su prórroga si la hubiere, queda suspendida la aplicación de todos los dispositivos de actualización de haberes instituidos por cualquier normativa que alcance las remuneraciones que abonan los tres poderes del Estado Provincial, sus entes descentralizados, autárquicos, autónomos, empresas y sociedades del estado, las que quedarán sujetas a los incrementos que disponga el Poder Ejecutivo de acuerdo a las disponibilidades presupuestarias en el marco de </w:t>
      </w:r>
      <w:r>
        <w:rPr>
          <w:rFonts w:ascii="Arial" w:hAnsi="Arial" w:cs="Arial"/>
          <w:sz w:val="24"/>
          <w:szCs w:val="24"/>
        </w:rPr>
        <w:t>las paritarias que se celebren.</w:t>
      </w:r>
    </w:p>
    <w:p w14:paraId="3B6561B9" w14:textId="77777777" w:rsidR="00102992" w:rsidRPr="004E31F0" w:rsidRDefault="00102992" w:rsidP="006832F2">
      <w:pPr>
        <w:spacing w:after="0" w:line="240" w:lineRule="auto"/>
        <w:jc w:val="both"/>
        <w:rPr>
          <w:rFonts w:ascii="Arial" w:hAnsi="Arial" w:cs="Arial"/>
          <w:sz w:val="24"/>
          <w:szCs w:val="24"/>
        </w:rPr>
      </w:pPr>
    </w:p>
    <w:p w14:paraId="3B62C8B4" w14:textId="77777777" w:rsidR="00102992" w:rsidRPr="004E31F0" w:rsidRDefault="00102992" w:rsidP="006832F2">
      <w:pPr>
        <w:spacing w:after="0" w:line="240" w:lineRule="auto"/>
        <w:jc w:val="both"/>
        <w:rPr>
          <w:rFonts w:ascii="Arial" w:hAnsi="Arial" w:cs="Arial"/>
          <w:sz w:val="24"/>
          <w:szCs w:val="24"/>
        </w:rPr>
      </w:pPr>
      <w:r w:rsidRPr="004E31F0">
        <w:rPr>
          <w:rFonts w:ascii="Arial" w:eastAsia="Times New Roman" w:hAnsi="Arial" w:cs="Arial"/>
          <w:b/>
          <w:bCs/>
          <w:sz w:val="24"/>
          <w:szCs w:val="24"/>
          <w:u w:val="single"/>
        </w:rPr>
        <w:t>ARTÍCULO 11º.-</w:t>
      </w:r>
      <w:r w:rsidRPr="004E31F0">
        <w:rPr>
          <w:rFonts w:ascii="Arial" w:hAnsi="Arial" w:cs="Arial"/>
          <w:sz w:val="24"/>
          <w:szCs w:val="24"/>
        </w:rPr>
        <w:t xml:space="preserve"> Dispónese, para el supuesto que se alcanzaren los ingresos proyectados indicados en la ley de presupuesto vigente, el Poder Ejecutivo podrá desafectar de la mayor contribución impuesta al personal en actividad y pasivos, incluidos en el tramo b) del artículo 4º y </w:t>
      </w:r>
      <w:r>
        <w:rPr>
          <w:rFonts w:ascii="Arial" w:hAnsi="Arial" w:cs="Arial"/>
          <w:sz w:val="24"/>
          <w:szCs w:val="24"/>
        </w:rPr>
        <w:t>en el tramo a) del artículo 6º.</w:t>
      </w:r>
    </w:p>
    <w:p w14:paraId="57BA7AB4" w14:textId="77777777" w:rsidR="00102992" w:rsidRDefault="00102992" w:rsidP="006832F2">
      <w:pPr>
        <w:spacing w:after="0" w:line="240" w:lineRule="auto"/>
        <w:jc w:val="both"/>
        <w:rPr>
          <w:rFonts w:ascii="Arial" w:hAnsi="Arial" w:cs="Arial"/>
          <w:sz w:val="24"/>
          <w:szCs w:val="24"/>
        </w:rPr>
      </w:pPr>
    </w:p>
    <w:p w14:paraId="28023903" w14:textId="77777777" w:rsidR="006832F2" w:rsidRDefault="006832F2" w:rsidP="006832F2">
      <w:pPr>
        <w:spacing w:after="0" w:line="240" w:lineRule="auto"/>
        <w:jc w:val="both"/>
        <w:rPr>
          <w:rFonts w:ascii="Arial" w:hAnsi="Arial" w:cs="Arial"/>
          <w:sz w:val="24"/>
          <w:szCs w:val="24"/>
        </w:rPr>
      </w:pPr>
    </w:p>
    <w:p w14:paraId="7851F7F6" w14:textId="77777777" w:rsidR="006832F2" w:rsidRPr="00681A09" w:rsidRDefault="006832F2" w:rsidP="006832F2">
      <w:pPr>
        <w:spacing w:after="0" w:line="240" w:lineRule="auto"/>
        <w:jc w:val="both"/>
        <w:rPr>
          <w:rFonts w:ascii="Arial" w:hAnsi="Arial" w:cs="Arial"/>
          <w:sz w:val="24"/>
          <w:szCs w:val="24"/>
        </w:rPr>
      </w:pPr>
    </w:p>
    <w:p w14:paraId="7BA28A54" w14:textId="77777777" w:rsidR="00102992" w:rsidRPr="00681A09" w:rsidRDefault="00102992" w:rsidP="006832F2">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12</w:t>
      </w:r>
      <w:r w:rsidRPr="00681A09">
        <w:rPr>
          <w:rFonts w:ascii="Arial" w:hAnsi="Arial" w:cs="Arial"/>
          <w:b/>
          <w:sz w:val="24"/>
          <w:szCs w:val="24"/>
          <w:u w:val="single"/>
        </w:rPr>
        <w:t>°.-</w:t>
      </w:r>
      <w:r w:rsidRPr="00681A09">
        <w:rPr>
          <w:rFonts w:ascii="Arial" w:hAnsi="Arial" w:cs="Arial"/>
          <w:sz w:val="24"/>
          <w:szCs w:val="24"/>
        </w:rPr>
        <w:t xml:space="preserve"> Comuníquese, etcétera.</w:t>
      </w:r>
    </w:p>
    <w:p w14:paraId="25A1C35C" w14:textId="77777777" w:rsidR="00102992" w:rsidRPr="00681A09" w:rsidRDefault="00102992" w:rsidP="00681A09">
      <w:pPr>
        <w:spacing w:after="0" w:line="240" w:lineRule="auto"/>
        <w:rPr>
          <w:rFonts w:ascii="Arial" w:hAnsi="Arial" w:cs="Arial"/>
          <w:sz w:val="24"/>
          <w:szCs w:val="24"/>
        </w:rPr>
      </w:pPr>
    </w:p>
    <w:p w14:paraId="49D06A3A" w14:textId="77777777" w:rsidR="00102992" w:rsidRPr="00681A09" w:rsidRDefault="00102992" w:rsidP="00681A09">
      <w:pPr>
        <w:spacing w:after="0" w:line="240" w:lineRule="auto"/>
        <w:jc w:val="both"/>
        <w:rPr>
          <w:rFonts w:ascii="Arial" w:hAnsi="Arial" w:cs="Arial"/>
          <w:sz w:val="24"/>
          <w:szCs w:val="24"/>
        </w:rPr>
      </w:pPr>
    </w:p>
    <w:p w14:paraId="5B8809B0" w14:textId="77777777" w:rsidR="00102992" w:rsidRPr="00681A09" w:rsidRDefault="00102992" w:rsidP="00681A09">
      <w:pPr>
        <w:pStyle w:val="L1"/>
        <w:rPr>
          <w:rFonts w:cs="Arial"/>
        </w:rPr>
      </w:pPr>
      <w:r w:rsidRPr="00681A09">
        <w:rPr>
          <w:rFonts w:cs="Arial"/>
        </w:rPr>
        <w:t xml:space="preserve">PARANÁ, SALA DE SESIONES, </w:t>
      </w:r>
      <w:r w:rsidR="00082273">
        <w:rPr>
          <w:rFonts w:cs="Arial"/>
        </w:rPr>
        <w:t>2 de julio de 2020</w:t>
      </w:r>
      <w:r w:rsidRPr="00681A09">
        <w:rPr>
          <w:rFonts w:cs="Arial"/>
        </w:rPr>
        <w:t>.</w:t>
      </w:r>
    </w:p>
    <w:p w14:paraId="0CE87DE1" w14:textId="77777777" w:rsidR="00C52F8F" w:rsidRDefault="00C52F8F" w:rsidP="00681A09">
      <w:pPr>
        <w:spacing w:after="0" w:line="240" w:lineRule="auto"/>
        <w:jc w:val="both"/>
        <w:rPr>
          <w:rFonts w:ascii="Arial" w:hAnsi="Arial" w:cs="Arial"/>
          <w:sz w:val="24"/>
          <w:szCs w:val="24"/>
        </w:rPr>
      </w:pPr>
    </w:p>
    <w:p w14:paraId="4E31EB84" w14:textId="77777777" w:rsidR="00C52F8F" w:rsidRDefault="00C52F8F" w:rsidP="00681A09">
      <w:pPr>
        <w:spacing w:after="0" w:line="240" w:lineRule="auto"/>
        <w:jc w:val="both"/>
        <w:rPr>
          <w:rFonts w:ascii="Arial" w:hAnsi="Arial" w:cs="Arial"/>
          <w:sz w:val="24"/>
          <w:szCs w:val="24"/>
        </w:rPr>
      </w:pPr>
    </w:p>
    <w:p w14:paraId="6C250B6E" w14:textId="77777777" w:rsidR="00C52F8F" w:rsidRPr="00807F6E" w:rsidRDefault="00C52F8F"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14:paraId="64346B0D" w14:textId="77777777" w:rsidR="00C52F8F" w:rsidRPr="00807F6E" w:rsidRDefault="00C52F8F"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14:paraId="49FBC7BC" w14:textId="77777777" w:rsidR="00C52F8F" w:rsidRPr="00807F6E" w:rsidRDefault="00C52F8F" w:rsidP="00237870">
      <w:pPr>
        <w:spacing w:after="0" w:line="240" w:lineRule="auto"/>
        <w:jc w:val="both"/>
        <w:rPr>
          <w:rFonts w:ascii="Times New Roman" w:hAnsi="Times New Roman"/>
          <w:b/>
        </w:rPr>
      </w:pPr>
    </w:p>
    <w:p w14:paraId="5B2A545B" w14:textId="77777777" w:rsidR="00C52F8F" w:rsidRPr="00807F6E" w:rsidRDefault="00C52F8F" w:rsidP="00237870">
      <w:pPr>
        <w:spacing w:after="0" w:line="240" w:lineRule="auto"/>
        <w:jc w:val="both"/>
        <w:rPr>
          <w:rFonts w:ascii="Times New Roman" w:hAnsi="Times New Roman"/>
          <w:b/>
        </w:rPr>
      </w:pPr>
    </w:p>
    <w:p w14:paraId="01F317D4" w14:textId="77777777" w:rsidR="00C52F8F" w:rsidRPr="00807F6E" w:rsidRDefault="00C52F8F" w:rsidP="00237870">
      <w:pPr>
        <w:spacing w:after="0" w:line="240" w:lineRule="auto"/>
        <w:jc w:val="both"/>
        <w:rPr>
          <w:rFonts w:ascii="Times New Roman" w:hAnsi="Times New Roman"/>
          <w:b/>
        </w:rPr>
      </w:pPr>
    </w:p>
    <w:p w14:paraId="65E5E1A7" w14:textId="77777777" w:rsidR="00C52F8F" w:rsidRPr="00807F6E" w:rsidRDefault="00C52F8F" w:rsidP="00237870">
      <w:pPr>
        <w:spacing w:after="0" w:line="240" w:lineRule="auto"/>
        <w:jc w:val="both"/>
        <w:rPr>
          <w:rFonts w:ascii="Times New Roman" w:hAnsi="Times New Roman"/>
          <w:b/>
        </w:rPr>
      </w:pPr>
    </w:p>
    <w:p w14:paraId="3F0EA201" w14:textId="77777777" w:rsidR="00C52F8F" w:rsidRPr="00FA270A" w:rsidRDefault="00C52F8F" w:rsidP="00237870">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14:paraId="2F69E525" w14:textId="77777777" w:rsidR="00C52F8F" w:rsidRPr="00FA270A" w:rsidRDefault="00C52F8F"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14:paraId="0C887BAF" w14:textId="77777777" w:rsidR="00C52F8F" w:rsidRPr="00FA270A" w:rsidRDefault="00C52F8F" w:rsidP="00237870">
      <w:pPr>
        <w:spacing w:after="0" w:line="240" w:lineRule="auto"/>
        <w:jc w:val="both"/>
        <w:rPr>
          <w:rFonts w:ascii="Times New Roman" w:hAnsi="Times New Roman"/>
          <w:b/>
        </w:rPr>
      </w:pPr>
    </w:p>
    <w:p w14:paraId="6AFDA7BD" w14:textId="77777777" w:rsidR="00C52F8F" w:rsidRPr="00FA270A" w:rsidRDefault="00C52F8F" w:rsidP="00237870">
      <w:pPr>
        <w:spacing w:after="0" w:line="240" w:lineRule="auto"/>
        <w:jc w:val="both"/>
        <w:rPr>
          <w:rFonts w:ascii="Times New Roman" w:hAnsi="Times New Roman"/>
          <w:b/>
        </w:rPr>
      </w:pPr>
      <w:r w:rsidRPr="00FA270A">
        <w:rPr>
          <w:rFonts w:ascii="Times New Roman" w:hAnsi="Times New Roman"/>
          <w:b/>
        </w:rPr>
        <w:t>ES COPIA AUTENTICA</w:t>
      </w:r>
    </w:p>
    <w:p w14:paraId="2018DC39" w14:textId="77777777" w:rsidR="00102992" w:rsidRPr="00681A09" w:rsidRDefault="00102992" w:rsidP="00681A09">
      <w:pPr>
        <w:spacing w:after="0" w:line="240" w:lineRule="auto"/>
        <w:jc w:val="both"/>
        <w:rPr>
          <w:rFonts w:ascii="Arial" w:hAnsi="Arial" w:cs="Arial"/>
          <w:sz w:val="24"/>
          <w:szCs w:val="24"/>
        </w:rPr>
      </w:pPr>
    </w:p>
    <w:p w14:paraId="74C5332C" w14:textId="77777777" w:rsidR="00102992" w:rsidRPr="00681A09" w:rsidRDefault="00102992" w:rsidP="00681A09">
      <w:pPr>
        <w:spacing w:after="0" w:line="240" w:lineRule="auto"/>
        <w:jc w:val="both"/>
        <w:rPr>
          <w:rFonts w:ascii="Arial" w:hAnsi="Arial" w:cs="Arial"/>
          <w:sz w:val="24"/>
          <w:szCs w:val="24"/>
        </w:rPr>
      </w:pPr>
    </w:p>
    <w:sectPr w:rsidR="00102992" w:rsidRPr="00681A09" w:rsidSect="008C1D42">
      <w:headerReference w:type="default" r:id="rId6"/>
      <w:pgSz w:w="11907" w:h="16840" w:code="9"/>
      <w:pgMar w:top="3402" w:right="85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917D1" w14:textId="77777777" w:rsidR="00194B65" w:rsidRDefault="00194B65" w:rsidP="00082273">
      <w:pPr>
        <w:spacing w:after="0" w:line="240" w:lineRule="auto"/>
      </w:pPr>
      <w:r>
        <w:separator/>
      </w:r>
    </w:p>
  </w:endnote>
  <w:endnote w:type="continuationSeparator" w:id="0">
    <w:p w14:paraId="0767F7A7" w14:textId="77777777" w:rsidR="00194B65" w:rsidRDefault="00194B65" w:rsidP="0008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65777" w14:textId="77777777" w:rsidR="00194B65" w:rsidRDefault="00194B65" w:rsidP="00082273">
      <w:pPr>
        <w:spacing w:after="0" w:line="240" w:lineRule="auto"/>
      </w:pPr>
      <w:r>
        <w:separator/>
      </w:r>
    </w:p>
  </w:footnote>
  <w:footnote w:type="continuationSeparator" w:id="0">
    <w:p w14:paraId="1394E8BE" w14:textId="77777777" w:rsidR="00194B65" w:rsidRDefault="00194B65" w:rsidP="0008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E0600" w14:textId="77777777" w:rsidR="00082273" w:rsidRDefault="00082273">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92"/>
    <w:rsid w:val="00082273"/>
    <w:rsid w:val="00102992"/>
    <w:rsid w:val="00167CF3"/>
    <w:rsid w:val="00194B65"/>
    <w:rsid w:val="003616ED"/>
    <w:rsid w:val="003F7588"/>
    <w:rsid w:val="004F5BBB"/>
    <w:rsid w:val="005F47C3"/>
    <w:rsid w:val="00630448"/>
    <w:rsid w:val="006752CF"/>
    <w:rsid w:val="006832F2"/>
    <w:rsid w:val="00691A5F"/>
    <w:rsid w:val="006C0910"/>
    <w:rsid w:val="006D286F"/>
    <w:rsid w:val="007A17CC"/>
    <w:rsid w:val="007B3862"/>
    <w:rsid w:val="0085238B"/>
    <w:rsid w:val="008C1D42"/>
    <w:rsid w:val="0091406C"/>
    <w:rsid w:val="00927C6E"/>
    <w:rsid w:val="009F655B"/>
    <w:rsid w:val="00A15CE2"/>
    <w:rsid w:val="00B41D76"/>
    <w:rsid w:val="00C52F8F"/>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4CF3"/>
  <w15:chartTrackingRefBased/>
  <w15:docId w15:val="{F88233DE-3F6E-4700-91C2-7AECB7BE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02992"/>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102992"/>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102992"/>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2992"/>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102992"/>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102992"/>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1029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1029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02992"/>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102992"/>
    <w:rPr>
      <w:rFonts w:ascii="Arial" w:eastAsia="Times New Roman" w:hAnsi="Arial" w:cs="Arial"/>
      <w:b/>
      <w:sz w:val="24"/>
      <w:szCs w:val="24"/>
      <w:lang w:val="es-ES" w:eastAsia="es-ES"/>
    </w:rPr>
  </w:style>
  <w:style w:type="character" w:styleId="Nmerodepgina">
    <w:name w:val="page number"/>
    <w:basedOn w:val="Fuentedeprrafopredeter"/>
    <w:rsid w:val="00102992"/>
  </w:style>
  <w:style w:type="paragraph" w:customStyle="1" w:styleId="L1">
    <w:name w:val="L1"/>
    <w:basedOn w:val="Encabezado"/>
    <w:autoRedefine/>
    <w:rsid w:val="00102992"/>
    <w:pPr>
      <w:keepNext/>
      <w:keepLines/>
      <w:tabs>
        <w:tab w:val="clear" w:pos="4419"/>
        <w:tab w:val="clear" w:pos="8838"/>
      </w:tabs>
      <w:jc w:val="both"/>
    </w:pPr>
    <w:rPr>
      <w:rFonts w:ascii="Arial" w:hAnsi="Arial"/>
      <w:b/>
    </w:rPr>
  </w:style>
  <w:style w:type="paragraph" w:customStyle="1" w:styleId="TableParagraph">
    <w:name w:val="Table Paragraph"/>
    <w:basedOn w:val="Normal"/>
    <w:rsid w:val="00102992"/>
    <w:pPr>
      <w:widowControl w:val="0"/>
      <w:suppressAutoHyphens/>
      <w:spacing w:before="4" w:after="0" w:line="240" w:lineRule="auto"/>
      <w:ind w:left="349"/>
      <w:jc w:val="center"/>
    </w:pPr>
    <w:rPr>
      <w:rFonts w:ascii="Century Gothic" w:eastAsia="Century Gothic" w:hAnsi="Century Gothic" w:cs="Century Gothic"/>
      <w:kern w:val="2"/>
      <w:sz w:val="24"/>
      <w:szCs w:val="24"/>
      <w:lang w:val="es-ES" w:eastAsia="es-ES" w:bidi="es-ES"/>
    </w:rPr>
  </w:style>
  <w:style w:type="paragraph" w:styleId="Piedepgina">
    <w:name w:val="footer"/>
    <w:basedOn w:val="Normal"/>
    <w:link w:val="PiedepginaCar"/>
    <w:uiPriority w:val="99"/>
    <w:unhideWhenUsed/>
    <w:rsid w:val="000822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2273"/>
  </w:style>
  <w:style w:type="paragraph" w:styleId="Textodeglobo">
    <w:name w:val="Balloon Text"/>
    <w:basedOn w:val="Normal"/>
    <w:link w:val="TextodegloboCar"/>
    <w:uiPriority w:val="99"/>
    <w:semiHidden/>
    <w:unhideWhenUsed/>
    <w:rsid w:val="006832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 Nicola</cp:lastModifiedBy>
  <cp:revision>2</cp:revision>
  <cp:lastPrinted>2020-07-02T12:26:00Z</cp:lastPrinted>
  <dcterms:created xsi:type="dcterms:W3CDTF">2020-07-02T15:59:00Z</dcterms:created>
  <dcterms:modified xsi:type="dcterms:W3CDTF">2020-07-02T15:59:00Z</dcterms:modified>
</cp:coreProperties>
</file>